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Pr="007E408A" w:rsidRDefault="007572FC" w:rsidP="007572FC">
      <w:pPr>
        <w:pStyle w:val="Docketnumber"/>
      </w:pPr>
      <w:bookmarkStart w:id="0" w:name="_GoBack"/>
      <w:r w:rsidRPr="007E408A">
        <w:t>DOCKET NO</w:t>
      </w:r>
      <w:r w:rsidR="00903A05" w:rsidRPr="007E408A">
        <w:t>. 47190</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E408A" w:rsidRPr="007E408A" w:rsidTr="009C1919">
        <w:tc>
          <w:tcPr>
            <w:tcW w:w="4608" w:type="dxa"/>
          </w:tcPr>
          <w:p w:rsidR="007572FC" w:rsidRPr="007E408A" w:rsidRDefault="00903A05" w:rsidP="004A07A0">
            <w:pPr>
              <w:pStyle w:val="Docketstyle"/>
            </w:pPr>
            <w:r w:rsidRPr="007E408A">
              <w:t>APPLICATION OF FROGNOT WATER SUPPLY CORPORATION AND NORTH FARMERSVILLE WATER SUPPLY CORPORATION FOR SALE, TRANSFER, OR MERGER OF FACILITIES AND CERTIFICATE RIGHTS AND FOR DUAL CERTIFICATION OF CERTAIN AREAS IN COLLIN, HUNT AND FANNIN COUNTIES</w:t>
            </w:r>
          </w:p>
        </w:tc>
        <w:tc>
          <w:tcPr>
            <w:tcW w:w="360" w:type="dxa"/>
          </w:tcPr>
          <w:p w:rsidR="007572FC" w:rsidRPr="007E408A" w:rsidRDefault="001E360C" w:rsidP="001E360C">
            <w:pPr>
              <w:pStyle w:val="Docketstyle"/>
            </w:pPr>
            <w:r w:rsidRPr="007E408A">
              <w:t>§</w:t>
            </w:r>
          </w:p>
          <w:p w:rsidR="001E360C" w:rsidRPr="007E408A" w:rsidRDefault="001E360C" w:rsidP="001E360C">
            <w:pPr>
              <w:pStyle w:val="Docketstyle"/>
            </w:pPr>
            <w:r w:rsidRPr="007E408A">
              <w:t>§</w:t>
            </w:r>
          </w:p>
          <w:p w:rsidR="00903A05" w:rsidRPr="007E408A" w:rsidRDefault="001E360C" w:rsidP="001E360C">
            <w:pPr>
              <w:pStyle w:val="Docketstyle"/>
            </w:pPr>
            <w:r w:rsidRPr="007E408A">
              <w:t>§</w:t>
            </w:r>
            <w:r w:rsidR="00AD6FBE" w:rsidRPr="007E408A">
              <w:t>§§§</w:t>
            </w:r>
          </w:p>
          <w:p w:rsidR="00903A05" w:rsidRPr="007E408A" w:rsidRDefault="00903A05" w:rsidP="001E360C">
            <w:pPr>
              <w:pStyle w:val="Docketstyle"/>
            </w:pPr>
            <w:r w:rsidRPr="007E408A">
              <w:t>§</w:t>
            </w:r>
          </w:p>
          <w:p w:rsidR="00903A05" w:rsidRPr="007E408A" w:rsidRDefault="00903A05" w:rsidP="001E360C">
            <w:pPr>
              <w:pStyle w:val="Docketstyle"/>
            </w:pPr>
            <w:r w:rsidRPr="007E408A">
              <w:t>§</w:t>
            </w:r>
          </w:p>
          <w:p w:rsidR="00903A05" w:rsidRPr="007E408A" w:rsidRDefault="00903A05" w:rsidP="001E360C">
            <w:pPr>
              <w:pStyle w:val="Docketstyle"/>
            </w:pPr>
            <w:r w:rsidRPr="007E408A">
              <w:t>§</w:t>
            </w:r>
          </w:p>
          <w:p w:rsidR="00903A05" w:rsidRPr="007E408A" w:rsidRDefault="00903A05" w:rsidP="001E360C">
            <w:pPr>
              <w:pStyle w:val="Docketstyle"/>
            </w:pPr>
            <w:r w:rsidRPr="007E408A">
              <w:t>§</w:t>
            </w:r>
          </w:p>
        </w:tc>
        <w:tc>
          <w:tcPr>
            <w:tcW w:w="4392" w:type="dxa"/>
          </w:tcPr>
          <w:p w:rsidR="007572FC" w:rsidRPr="007E408A" w:rsidRDefault="001E360C" w:rsidP="001E360C">
            <w:pPr>
              <w:pStyle w:val="DocketstylePUC"/>
            </w:pPr>
            <w:r w:rsidRPr="007E408A">
              <w:t>PUBLIC UTILITY COMMISSION</w:t>
            </w:r>
          </w:p>
          <w:p w:rsidR="001E360C" w:rsidRPr="007E408A" w:rsidRDefault="001E360C" w:rsidP="001E360C">
            <w:pPr>
              <w:pStyle w:val="DocketstylePUC"/>
            </w:pPr>
          </w:p>
          <w:p w:rsidR="001E360C" w:rsidRPr="007E408A" w:rsidRDefault="001E360C" w:rsidP="001E360C">
            <w:pPr>
              <w:pStyle w:val="DocketstylePUC"/>
            </w:pPr>
            <w:r w:rsidRPr="007E408A">
              <w:t>OF TEXAS</w:t>
            </w:r>
          </w:p>
        </w:tc>
      </w:tr>
    </w:tbl>
    <w:p w:rsidR="007572FC" w:rsidRPr="007E408A" w:rsidRDefault="00AD6FBE" w:rsidP="00C54659">
      <w:pPr>
        <w:pStyle w:val="Titleoforder"/>
      </w:pPr>
      <w:r w:rsidRPr="007E408A">
        <w:t>NOTICE OF APPROVAL</w:t>
      </w:r>
    </w:p>
    <w:p w:rsidR="00AD6FBE" w:rsidRPr="007E408A" w:rsidRDefault="00AD6FBE" w:rsidP="00AD6FBE">
      <w:pPr>
        <w:pStyle w:val="BodyText"/>
      </w:pPr>
      <w:r w:rsidRPr="007E408A">
        <w:t>This Notice</w:t>
      </w:r>
      <w:r w:rsidR="00CA3701" w:rsidRPr="007E408A">
        <w:t xml:space="preserve"> of Approval</w:t>
      </w:r>
      <w:r w:rsidRPr="007E408A">
        <w:t xml:space="preserve"> addresses the application of </w:t>
      </w:r>
      <w:r w:rsidR="001E07F5" w:rsidRPr="007E408A">
        <w:t xml:space="preserve">Frognot Water Supply Corporation </w:t>
      </w:r>
      <w:r w:rsidRPr="007E408A">
        <w:t xml:space="preserve">for the </w:t>
      </w:r>
      <w:r w:rsidR="00D750F9" w:rsidRPr="007E408A">
        <w:t>acquisition</w:t>
      </w:r>
      <w:r w:rsidRPr="007E408A">
        <w:t xml:space="preserve"> of </w:t>
      </w:r>
      <w:r w:rsidR="00ED1943" w:rsidRPr="007E408A">
        <w:t xml:space="preserve">a portion of </w:t>
      </w:r>
      <w:r w:rsidR="00281669" w:rsidRPr="007E408A">
        <w:t xml:space="preserve">the </w:t>
      </w:r>
      <w:r w:rsidR="00495C8F" w:rsidRPr="007E408A">
        <w:t xml:space="preserve">North Farmersville Water Supply Corporation </w:t>
      </w:r>
      <w:r w:rsidR="00ED1943" w:rsidRPr="007E408A">
        <w:t>water system</w:t>
      </w:r>
      <w:r w:rsidR="00E53AFB" w:rsidRPr="007E408A">
        <w:t xml:space="preserve"> </w:t>
      </w:r>
      <w:r w:rsidR="00495C8F" w:rsidRPr="007E408A">
        <w:t xml:space="preserve">and </w:t>
      </w:r>
      <w:r w:rsidR="00E53AFB" w:rsidRPr="007E408A">
        <w:t xml:space="preserve">the amendment of </w:t>
      </w:r>
      <w:r w:rsidR="00701284" w:rsidRPr="007E408A">
        <w:t>Frognot</w:t>
      </w:r>
      <w:r w:rsidR="00495C8F" w:rsidRPr="007E408A">
        <w:t>’s</w:t>
      </w:r>
      <w:r w:rsidR="00E53AFB" w:rsidRPr="007E408A">
        <w:t xml:space="preserve"> certificate of convenience and </w:t>
      </w:r>
      <w:r w:rsidR="00701284" w:rsidRPr="007E408A">
        <w:t xml:space="preserve">necessity (CCN) number 10164 </w:t>
      </w:r>
      <w:r w:rsidR="00495C8F" w:rsidRPr="007E408A">
        <w:t>to include dual certification of areas within</w:t>
      </w:r>
      <w:r w:rsidR="00701284" w:rsidRPr="007E408A">
        <w:t xml:space="preserve"> </w:t>
      </w:r>
      <w:r w:rsidR="00ED1943" w:rsidRPr="007E408A">
        <w:t xml:space="preserve">the CCNs of </w:t>
      </w:r>
      <w:r w:rsidR="00495C8F" w:rsidRPr="007E408A">
        <w:t>North Farmersville, Caddo Basin Special Utility District, and West Leonard</w:t>
      </w:r>
      <w:r w:rsidR="00ED1943" w:rsidRPr="007E408A">
        <w:t xml:space="preserve"> Water Supply Corporation</w:t>
      </w:r>
      <w:r w:rsidR="00495C8F" w:rsidRPr="007E408A">
        <w:t xml:space="preserve"> </w:t>
      </w:r>
      <w:r w:rsidR="00ED1943" w:rsidRPr="007E408A">
        <w:t>in</w:t>
      </w:r>
      <w:r w:rsidR="00495C8F" w:rsidRPr="007E408A">
        <w:t xml:space="preserve"> </w:t>
      </w:r>
      <w:r w:rsidR="00701284" w:rsidRPr="007E408A">
        <w:t xml:space="preserve">Collin, </w:t>
      </w:r>
      <w:r w:rsidR="00495C8F" w:rsidRPr="007E408A">
        <w:t>Hunt,</w:t>
      </w:r>
      <w:r w:rsidRPr="007E408A">
        <w:t xml:space="preserve"> and </w:t>
      </w:r>
      <w:r w:rsidR="00701284" w:rsidRPr="007E408A">
        <w:t>Fannin</w:t>
      </w:r>
      <w:r w:rsidRPr="007E408A">
        <w:t xml:space="preserve"> Counties.  The Comm</w:t>
      </w:r>
      <w:r w:rsidR="00F0285F" w:rsidRPr="007E408A">
        <w:t xml:space="preserve">ission approves </w:t>
      </w:r>
      <w:r w:rsidR="00065750" w:rsidRPr="007E408A">
        <w:t xml:space="preserve">Frognot’s purchase </w:t>
      </w:r>
      <w:r w:rsidRPr="007E408A">
        <w:t>of</w:t>
      </w:r>
      <w:r w:rsidR="00E53AFB" w:rsidRPr="007E408A">
        <w:t xml:space="preserve"> </w:t>
      </w:r>
      <w:r w:rsidR="00281669" w:rsidRPr="007E408A">
        <w:t xml:space="preserve">a portion of </w:t>
      </w:r>
      <w:r w:rsidR="00495C8F" w:rsidRPr="007E408A">
        <w:t>North Farmersville</w:t>
      </w:r>
      <w:r w:rsidR="00E53AFB" w:rsidRPr="007E408A">
        <w:t>’s</w:t>
      </w:r>
      <w:r w:rsidRPr="007E408A">
        <w:t xml:space="preserve"> </w:t>
      </w:r>
      <w:r w:rsidR="00E53AFB" w:rsidRPr="007E408A">
        <w:t>water system</w:t>
      </w:r>
      <w:r w:rsidR="001D3B44" w:rsidRPr="007E408A">
        <w:t>,</w:t>
      </w:r>
      <w:r w:rsidR="00E53AFB" w:rsidRPr="007E408A">
        <w:t xml:space="preserve"> amends </w:t>
      </w:r>
      <w:r w:rsidR="00495C8F" w:rsidRPr="007E408A">
        <w:t>Frognot’s</w:t>
      </w:r>
      <w:r w:rsidR="00E53AFB" w:rsidRPr="007E408A">
        <w:t xml:space="preserve"> CCN number </w:t>
      </w:r>
      <w:r w:rsidR="00495C8F" w:rsidRPr="007E408A">
        <w:t>10164</w:t>
      </w:r>
      <w:r w:rsidR="00E53AFB" w:rsidRPr="007E408A">
        <w:t xml:space="preserve"> to include </w:t>
      </w:r>
      <w:r w:rsidR="00281669" w:rsidRPr="007E408A">
        <w:t xml:space="preserve">portions of </w:t>
      </w:r>
      <w:r w:rsidR="00E53AFB" w:rsidRPr="007E408A">
        <w:t>the service area</w:t>
      </w:r>
      <w:r w:rsidR="00281669" w:rsidRPr="007E408A">
        <w:t>s</w:t>
      </w:r>
      <w:r w:rsidR="00E53AFB" w:rsidRPr="007E408A">
        <w:t xml:space="preserve"> </w:t>
      </w:r>
      <w:r w:rsidR="00281669" w:rsidRPr="007E408A">
        <w:t>of</w:t>
      </w:r>
      <w:r w:rsidRPr="007E408A">
        <w:t xml:space="preserve"> </w:t>
      </w:r>
      <w:r w:rsidR="00ED1943" w:rsidRPr="007E408A">
        <w:t>North Farmersville</w:t>
      </w:r>
      <w:r w:rsidR="00F60AD0" w:rsidRPr="007E408A">
        <w:t xml:space="preserve"> (CCN number 12363)</w:t>
      </w:r>
      <w:r w:rsidR="00ED1943" w:rsidRPr="007E408A">
        <w:t>, Caddo Basin Special Utility District</w:t>
      </w:r>
      <w:r w:rsidR="00F60AD0" w:rsidRPr="007E408A">
        <w:t xml:space="preserve"> (CCN number </w:t>
      </w:r>
      <w:r w:rsidR="006B08D9" w:rsidRPr="007E408A">
        <w:t>10165</w:t>
      </w:r>
      <w:r w:rsidR="00F60AD0" w:rsidRPr="007E408A">
        <w:t>)</w:t>
      </w:r>
      <w:r w:rsidR="00ED1943" w:rsidRPr="007E408A">
        <w:t>, and West Leonard Water Supply Corporation</w:t>
      </w:r>
      <w:r w:rsidR="00E53AFB" w:rsidRPr="007E408A">
        <w:t xml:space="preserve"> </w:t>
      </w:r>
      <w:r w:rsidR="00F60AD0" w:rsidRPr="007E408A">
        <w:t xml:space="preserve">(CCN number </w:t>
      </w:r>
      <w:r w:rsidR="006B08D9" w:rsidRPr="007E408A">
        <w:t>10157</w:t>
      </w:r>
      <w:r w:rsidR="00F60AD0" w:rsidRPr="007E408A">
        <w:t>).</w:t>
      </w:r>
    </w:p>
    <w:p w:rsidR="00AD6FBE" w:rsidRPr="007E408A" w:rsidRDefault="00AD6FBE" w:rsidP="00AD6FBE">
      <w:pPr>
        <w:pStyle w:val="Heading1"/>
        <w:rPr>
          <w:rFonts w:cs="Times New Roman"/>
          <w:szCs w:val="24"/>
        </w:rPr>
      </w:pPr>
      <w:r w:rsidRPr="007E408A">
        <w:rPr>
          <w:rFonts w:cs="Times New Roman"/>
          <w:szCs w:val="24"/>
        </w:rPr>
        <w:t>Findings of Fact</w:t>
      </w:r>
    </w:p>
    <w:p w:rsidR="00521DD0" w:rsidRPr="007E408A" w:rsidRDefault="00521DD0" w:rsidP="00521DD0">
      <w:pPr>
        <w:pStyle w:val="BodyText"/>
      </w:pPr>
      <w:r w:rsidRPr="007E408A">
        <w:t>The Commission makes the following findings of fact.</w:t>
      </w:r>
    </w:p>
    <w:p w:rsidR="00AD6FBE" w:rsidRPr="007E408A" w:rsidRDefault="00AD6FBE" w:rsidP="00AD6FBE">
      <w:pPr>
        <w:pStyle w:val="Heading7"/>
        <w:rPr>
          <w:rFonts w:cs="Times New Roman"/>
        </w:rPr>
      </w:pPr>
      <w:r w:rsidRPr="007E408A">
        <w:rPr>
          <w:rFonts w:cs="Times New Roman"/>
        </w:rPr>
        <w:t xml:space="preserve">Applicants </w:t>
      </w:r>
    </w:p>
    <w:p w:rsidR="00AD6FBE" w:rsidRPr="007E408A" w:rsidRDefault="002B5EAB" w:rsidP="00AD6FBE">
      <w:pPr>
        <w:pStyle w:val="FOFNumbered"/>
        <w:rPr>
          <w:szCs w:val="24"/>
        </w:rPr>
      </w:pPr>
      <w:r w:rsidRPr="007E408A">
        <w:rPr>
          <w:szCs w:val="24"/>
        </w:rPr>
        <w:t>Frognot WSC is a domestic non-profit corporation registered with the Texas secretary of state under filing number 21965501.</w:t>
      </w:r>
      <w:r w:rsidR="00AD6FBE" w:rsidRPr="007E408A">
        <w:rPr>
          <w:szCs w:val="24"/>
        </w:rPr>
        <w:t xml:space="preserve"> </w:t>
      </w:r>
    </w:p>
    <w:p w:rsidR="00AD6FBE" w:rsidRPr="007E408A" w:rsidRDefault="00A75D01" w:rsidP="00AD6FBE">
      <w:pPr>
        <w:pStyle w:val="FOFNumbered"/>
        <w:rPr>
          <w:szCs w:val="24"/>
        </w:rPr>
      </w:pPr>
      <w:r w:rsidRPr="007E408A">
        <w:rPr>
          <w:szCs w:val="24"/>
        </w:rPr>
        <w:t>Frognot WSC</w:t>
      </w:r>
      <w:r w:rsidR="00AD6FBE" w:rsidRPr="007E408A">
        <w:rPr>
          <w:szCs w:val="24"/>
        </w:rPr>
        <w:t xml:space="preserve"> operates, maintains, and controls facilities for providing wate</w:t>
      </w:r>
      <w:r w:rsidRPr="007E408A">
        <w:rPr>
          <w:szCs w:val="24"/>
        </w:rPr>
        <w:t xml:space="preserve">r service under </w:t>
      </w:r>
      <w:r w:rsidR="00085FE8" w:rsidRPr="007E408A">
        <w:rPr>
          <w:szCs w:val="24"/>
        </w:rPr>
        <w:t xml:space="preserve">public water system no. 0430035 with a service area identified by </w:t>
      </w:r>
      <w:r w:rsidRPr="007E408A">
        <w:rPr>
          <w:szCs w:val="24"/>
        </w:rPr>
        <w:t>CCN number 10164</w:t>
      </w:r>
      <w:r w:rsidR="00E53AFB" w:rsidRPr="007E408A">
        <w:rPr>
          <w:szCs w:val="24"/>
        </w:rPr>
        <w:t xml:space="preserve"> in </w:t>
      </w:r>
      <w:r w:rsidR="00875E8A" w:rsidRPr="007E408A">
        <w:rPr>
          <w:szCs w:val="24"/>
        </w:rPr>
        <w:t>Hunt, Collin,</w:t>
      </w:r>
      <w:r w:rsidR="00E53AFB" w:rsidRPr="007E408A">
        <w:rPr>
          <w:szCs w:val="24"/>
        </w:rPr>
        <w:t xml:space="preserve"> and </w:t>
      </w:r>
      <w:r w:rsidR="00875E8A" w:rsidRPr="007E408A">
        <w:rPr>
          <w:szCs w:val="24"/>
        </w:rPr>
        <w:t>Fannin</w:t>
      </w:r>
      <w:r w:rsidRPr="007E408A">
        <w:rPr>
          <w:szCs w:val="24"/>
        </w:rPr>
        <w:t xml:space="preserve"> Counties</w:t>
      </w:r>
      <w:r w:rsidR="00AD6FBE" w:rsidRPr="007E408A">
        <w:rPr>
          <w:szCs w:val="24"/>
        </w:rPr>
        <w:t>.</w:t>
      </w:r>
    </w:p>
    <w:p w:rsidR="00AD6FBE" w:rsidRPr="007E408A" w:rsidRDefault="00A75D01" w:rsidP="00AD6FBE">
      <w:pPr>
        <w:pStyle w:val="FOFNumbered"/>
        <w:rPr>
          <w:szCs w:val="24"/>
        </w:rPr>
      </w:pPr>
      <w:r w:rsidRPr="007E408A">
        <w:rPr>
          <w:szCs w:val="24"/>
        </w:rPr>
        <w:t>North Farmersville is a domestic non-profit corporation registered with the Texas secretary of state under filing number 23906701</w:t>
      </w:r>
      <w:r w:rsidR="00AD6FBE" w:rsidRPr="007E408A">
        <w:rPr>
          <w:szCs w:val="24"/>
        </w:rPr>
        <w:t>.</w:t>
      </w:r>
    </w:p>
    <w:p w:rsidR="00AD6FBE" w:rsidRPr="007E408A" w:rsidRDefault="00A75D01" w:rsidP="00AD6FBE">
      <w:pPr>
        <w:pStyle w:val="FOFNumbered"/>
        <w:rPr>
          <w:szCs w:val="24"/>
        </w:rPr>
      </w:pPr>
      <w:r w:rsidRPr="007E408A">
        <w:rPr>
          <w:szCs w:val="24"/>
        </w:rPr>
        <w:lastRenderedPageBreak/>
        <w:t>North Farmersville</w:t>
      </w:r>
      <w:r w:rsidR="00AD6FBE" w:rsidRPr="007E408A">
        <w:rPr>
          <w:szCs w:val="24"/>
        </w:rPr>
        <w:t xml:space="preserve"> </w:t>
      </w:r>
      <w:r w:rsidR="00027695" w:rsidRPr="007E408A">
        <w:rPr>
          <w:szCs w:val="24"/>
        </w:rPr>
        <w:t xml:space="preserve">WSC </w:t>
      </w:r>
      <w:r w:rsidR="00AD6FBE" w:rsidRPr="007E408A">
        <w:rPr>
          <w:szCs w:val="24"/>
        </w:rPr>
        <w:t>operates, maintains, and controls facilities for providing wate</w:t>
      </w:r>
      <w:r w:rsidRPr="007E408A">
        <w:rPr>
          <w:szCs w:val="24"/>
        </w:rPr>
        <w:t xml:space="preserve">r service under </w:t>
      </w:r>
      <w:r w:rsidR="00085FE8" w:rsidRPr="007E408A">
        <w:rPr>
          <w:szCs w:val="24"/>
        </w:rPr>
        <w:t xml:space="preserve">public water system no. 0430043 with a service area identified by </w:t>
      </w:r>
      <w:r w:rsidRPr="007E408A">
        <w:rPr>
          <w:szCs w:val="24"/>
        </w:rPr>
        <w:t>CCN number 12363</w:t>
      </w:r>
      <w:r w:rsidR="009B130E" w:rsidRPr="007E408A">
        <w:rPr>
          <w:szCs w:val="24"/>
        </w:rPr>
        <w:t xml:space="preserve"> in</w:t>
      </w:r>
      <w:r w:rsidR="00027695" w:rsidRPr="007E408A">
        <w:rPr>
          <w:szCs w:val="24"/>
        </w:rPr>
        <w:t xml:space="preserve"> Collin </w:t>
      </w:r>
      <w:r w:rsidRPr="007E408A">
        <w:rPr>
          <w:szCs w:val="24"/>
        </w:rPr>
        <w:t>C</w:t>
      </w:r>
      <w:r w:rsidR="00027695" w:rsidRPr="007E408A">
        <w:rPr>
          <w:szCs w:val="24"/>
        </w:rPr>
        <w:t>ounty</w:t>
      </w:r>
      <w:r w:rsidR="00AD6FBE" w:rsidRPr="007E408A">
        <w:rPr>
          <w:szCs w:val="24"/>
        </w:rPr>
        <w:t>.</w:t>
      </w:r>
    </w:p>
    <w:p w:rsidR="00AD6FBE" w:rsidRPr="007E408A" w:rsidRDefault="00AD6FBE" w:rsidP="00AD6FBE">
      <w:pPr>
        <w:pStyle w:val="Heading7"/>
        <w:rPr>
          <w:rFonts w:cs="Times New Roman"/>
        </w:rPr>
      </w:pPr>
      <w:r w:rsidRPr="007E408A">
        <w:rPr>
          <w:rFonts w:cs="Times New Roman"/>
        </w:rPr>
        <w:t xml:space="preserve">Application </w:t>
      </w:r>
    </w:p>
    <w:p w:rsidR="00DF492C" w:rsidRPr="007E408A" w:rsidRDefault="00AD6FBE" w:rsidP="00AD6FBE">
      <w:pPr>
        <w:pStyle w:val="FOFNumbered"/>
        <w:rPr>
          <w:szCs w:val="24"/>
        </w:rPr>
      </w:pPr>
      <w:r w:rsidRPr="007E408A">
        <w:rPr>
          <w:szCs w:val="24"/>
        </w:rPr>
        <w:t xml:space="preserve">On </w:t>
      </w:r>
      <w:r w:rsidR="003A2FE2" w:rsidRPr="007E408A">
        <w:rPr>
          <w:szCs w:val="24"/>
        </w:rPr>
        <w:t>May 18</w:t>
      </w:r>
      <w:r w:rsidRPr="007E408A">
        <w:rPr>
          <w:szCs w:val="24"/>
        </w:rPr>
        <w:t xml:space="preserve">, </w:t>
      </w:r>
      <w:r w:rsidR="003A2FE2" w:rsidRPr="007E408A">
        <w:rPr>
          <w:szCs w:val="24"/>
        </w:rPr>
        <w:t>2017</w:t>
      </w:r>
      <w:r w:rsidR="0052467B" w:rsidRPr="007E408A">
        <w:rPr>
          <w:szCs w:val="24"/>
        </w:rPr>
        <w:t>,</w:t>
      </w:r>
      <w:r w:rsidR="003A2FE2" w:rsidRPr="007E408A">
        <w:rPr>
          <w:szCs w:val="24"/>
        </w:rPr>
        <w:t xml:space="preserve"> Frognot</w:t>
      </w:r>
      <w:r w:rsidR="00D5239C" w:rsidRPr="007E408A">
        <w:rPr>
          <w:szCs w:val="24"/>
        </w:rPr>
        <w:t xml:space="preserve">, requested </w:t>
      </w:r>
      <w:r w:rsidR="00AE497E" w:rsidRPr="007E408A">
        <w:rPr>
          <w:szCs w:val="24"/>
        </w:rPr>
        <w:t xml:space="preserve">approval </w:t>
      </w:r>
      <w:r w:rsidR="00854D45" w:rsidRPr="007E408A">
        <w:rPr>
          <w:szCs w:val="24"/>
        </w:rPr>
        <w:t>t</w:t>
      </w:r>
      <w:r w:rsidR="00BE7F14" w:rsidRPr="007E408A">
        <w:rPr>
          <w:szCs w:val="24"/>
        </w:rPr>
        <w:t>o amend its water CCN for dual certification of certain areas on Collin, Hunt</w:t>
      </w:r>
      <w:r w:rsidR="00D5239C" w:rsidRPr="007E408A">
        <w:rPr>
          <w:szCs w:val="24"/>
        </w:rPr>
        <w:t xml:space="preserve">, </w:t>
      </w:r>
      <w:r w:rsidR="00BE7F14" w:rsidRPr="007E408A">
        <w:rPr>
          <w:szCs w:val="24"/>
        </w:rPr>
        <w:t xml:space="preserve">and Fannin Counties.  </w:t>
      </w:r>
    </w:p>
    <w:p w:rsidR="00BE7F14" w:rsidRPr="007E408A" w:rsidRDefault="00BE7F14" w:rsidP="00854D45">
      <w:pPr>
        <w:pStyle w:val="FOFNumbered"/>
        <w:rPr>
          <w:szCs w:val="24"/>
        </w:rPr>
      </w:pPr>
      <w:r w:rsidRPr="007E408A">
        <w:rPr>
          <w:szCs w:val="24"/>
        </w:rPr>
        <w:t xml:space="preserve">In Order No. 2 issued on June 21, 2017, the </w:t>
      </w:r>
      <w:r w:rsidR="00DD015E" w:rsidRPr="007E408A">
        <w:rPr>
          <w:szCs w:val="24"/>
        </w:rPr>
        <w:t xml:space="preserve">administrative law judge </w:t>
      </w:r>
      <w:r w:rsidR="00AB3020" w:rsidRPr="007E408A">
        <w:rPr>
          <w:szCs w:val="24"/>
        </w:rPr>
        <w:t>(</w:t>
      </w:r>
      <w:r w:rsidRPr="007E408A">
        <w:rPr>
          <w:szCs w:val="24"/>
        </w:rPr>
        <w:t>ALJ</w:t>
      </w:r>
      <w:r w:rsidR="00AB3020" w:rsidRPr="007E408A">
        <w:rPr>
          <w:szCs w:val="24"/>
        </w:rPr>
        <w:t>)</w:t>
      </w:r>
      <w:r w:rsidRPr="007E408A">
        <w:rPr>
          <w:szCs w:val="24"/>
        </w:rPr>
        <w:t xml:space="preserve"> </w:t>
      </w:r>
      <w:r w:rsidR="00E641D2" w:rsidRPr="007E408A">
        <w:rPr>
          <w:szCs w:val="24"/>
        </w:rPr>
        <w:t>found the application administratively incomplete and deficient, and required Frognot to amend the application, on or before July 19, 2017, to cure deficiencies noted by Commission Staff.  Additionally, the ALJ restyled the proceeding in part to reflect North</w:t>
      </w:r>
      <w:r w:rsidR="00CE3219" w:rsidRPr="007E408A">
        <w:rPr>
          <w:szCs w:val="24"/>
        </w:rPr>
        <w:t xml:space="preserve"> Farmersville as a    co–applicant </w:t>
      </w:r>
      <w:r w:rsidR="00E641D2" w:rsidRPr="007E408A">
        <w:rPr>
          <w:szCs w:val="24"/>
        </w:rPr>
        <w:t xml:space="preserve">as follows: </w:t>
      </w:r>
      <w:r w:rsidR="00E641D2" w:rsidRPr="007E408A">
        <w:rPr>
          <w:i/>
          <w:szCs w:val="24"/>
        </w:rPr>
        <w:t>Application of Frognot Water Supply Corporation and North Farmersville Water Supply Corporation for Sale, Transfer, or Merger of Facilities and Certificates Rights and for Dual Certification of Certain Areas in Collin, Hunt, and Fannin Counties.</w:t>
      </w:r>
    </w:p>
    <w:p w:rsidR="00DD015E" w:rsidRPr="007E408A" w:rsidRDefault="00F11A11" w:rsidP="00854D45">
      <w:pPr>
        <w:pStyle w:val="FOFNumbered"/>
        <w:rPr>
          <w:szCs w:val="24"/>
        </w:rPr>
      </w:pPr>
      <w:r w:rsidRPr="007E408A">
        <w:rPr>
          <w:szCs w:val="24"/>
        </w:rPr>
        <w:t xml:space="preserve">On July 19, 2017, Frognot filed an </w:t>
      </w:r>
      <w:r w:rsidR="00DD015E" w:rsidRPr="007E408A">
        <w:rPr>
          <w:szCs w:val="24"/>
        </w:rPr>
        <w:t>a</w:t>
      </w:r>
      <w:r w:rsidRPr="007E408A">
        <w:rPr>
          <w:szCs w:val="24"/>
        </w:rPr>
        <w:t>pplication for</w:t>
      </w:r>
      <w:r w:rsidRPr="007E408A">
        <w:rPr>
          <w:i/>
          <w:szCs w:val="24"/>
        </w:rPr>
        <w:t xml:space="preserve"> </w:t>
      </w:r>
      <w:r w:rsidR="00DD015E" w:rsidRPr="007E408A">
        <w:rPr>
          <w:szCs w:val="24"/>
        </w:rPr>
        <w:t>sale, transfer, or m</w:t>
      </w:r>
      <w:r w:rsidRPr="007E408A">
        <w:rPr>
          <w:szCs w:val="24"/>
        </w:rPr>
        <w:t>erger of a</w:t>
      </w:r>
      <w:r w:rsidR="00DD015E" w:rsidRPr="007E408A">
        <w:rPr>
          <w:szCs w:val="24"/>
        </w:rPr>
        <w:t xml:space="preserve"> retail public u</w:t>
      </w:r>
      <w:r w:rsidRPr="007E408A">
        <w:rPr>
          <w:szCs w:val="24"/>
        </w:rPr>
        <w:t xml:space="preserve">tility completed </w:t>
      </w:r>
      <w:r w:rsidR="00DA1D94" w:rsidRPr="007E408A">
        <w:rPr>
          <w:szCs w:val="24"/>
        </w:rPr>
        <w:t xml:space="preserve">in part </w:t>
      </w:r>
      <w:r w:rsidR="00DD015E" w:rsidRPr="007E408A">
        <w:rPr>
          <w:szCs w:val="24"/>
        </w:rPr>
        <w:t xml:space="preserve">by </w:t>
      </w:r>
      <w:r w:rsidR="00DA1D94" w:rsidRPr="007E408A">
        <w:rPr>
          <w:szCs w:val="24"/>
        </w:rPr>
        <w:t xml:space="preserve">applicants </w:t>
      </w:r>
      <w:r w:rsidR="00DD015E" w:rsidRPr="007E408A">
        <w:rPr>
          <w:szCs w:val="24"/>
        </w:rPr>
        <w:t>Frognot and North Farmersville, as</w:t>
      </w:r>
      <w:r w:rsidRPr="007E408A">
        <w:rPr>
          <w:szCs w:val="24"/>
        </w:rPr>
        <w:t xml:space="preserve"> </w:t>
      </w:r>
      <w:r w:rsidR="00DA1D94" w:rsidRPr="007E408A">
        <w:rPr>
          <w:szCs w:val="24"/>
        </w:rPr>
        <w:t>direct</w:t>
      </w:r>
      <w:r w:rsidRPr="007E408A">
        <w:rPr>
          <w:szCs w:val="24"/>
        </w:rPr>
        <w:t>ed</w:t>
      </w:r>
      <w:r w:rsidRPr="007E408A">
        <w:rPr>
          <w:i/>
          <w:szCs w:val="24"/>
        </w:rPr>
        <w:t xml:space="preserve"> </w:t>
      </w:r>
      <w:r w:rsidR="00DD015E" w:rsidRPr="007E408A">
        <w:rPr>
          <w:szCs w:val="24"/>
        </w:rPr>
        <w:t>by Commission Staff.</w:t>
      </w:r>
    </w:p>
    <w:p w:rsidR="00CF55DF" w:rsidRPr="007E408A" w:rsidRDefault="00DA1D94" w:rsidP="00854D45">
      <w:pPr>
        <w:pStyle w:val="FOFNumbered"/>
        <w:rPr>
          <w:szCs w:val="24"/>
        </w:rPr>
      </w:pPr>
      <w:r w:rsidRPr="007E408A">
        <w:rPr>
          <w:szCs w:val="24"/>
        </w:rPr>
        <w:t>The applicants</w:t>
      </w:r>
      <w:r w:rsidR="00854D45" w:rsidRPr="007E408A">
        <w:rPr>
          <w:szCs w:val="24"/>
        </w:rPr>
        <w:t xml:space="preserve"> requested approval </w:t>
      </w:r>
      <w:r w:rsidR="00472EE7" w:rsidRPr="007E408A">
        <w:rPr>
          <w:szCs w:val="24"/>
        </w:rPr>
        <w:t>for</w:t>
      </w:r>
      <w:r w:rsidR="0061404E" w:rsidRPr="007E408A">
        <w:rPr>
          <w:szCs w:val="24"/>
        </w:rPr>
        <w:t xml:space="preserve"> the</w:t>
      </w:r>
      <w:r w:rsidR="00854D45" w:rsidRPr="007E408A">
        <w:rPr>
          <w:szCs w:val="24"/>
        </w:rPr>
        <w:t xml:space="preserve"> transfer of customers and facilities serving those customers from North Farmersville to</w:t>
      </w:r>
      <w:r w:rsidRPr="007E408A">
        <w:rPr>
          <w:szCs w:val="24"/>
        </w:rPr>
        <w:t xml:space="preserve"> Frognot and </w:t>
      </w:r>
      <w:r w:rsidR="00854D45" w:rsidRPr="007E408A">
        <w:rPr>
          <w:szCs w:val="24"/>
        </w:rPr>
        <w:t xml:space="preserve">to obtain dual certification </w:t>
      </w:r>
      <w:r w:rsidR="00472EE7" w:rsidRPr="007E408A">
        <w:rPr>
          <w:szCs w:val="24"/>
        </w:rPr>
        <w:t xml:space="preserve">for certain areas </w:t>
      </w:r>
      <w:r w:rsidR="00854D45" w:rsidRPr="007E408A">
        <w:rPr>
          <w:szCs w:val="24"/>
        </w:rPr>
        <w:t>with</w:t>
      </w:r>
      <w:r w:rsidR="00472EE7" w:rsidRPr="007E408A">
        <w:rPr>
          <w:szCs w:val="24"/>
        </w:rPr>
        <w:t>in the certificated service areas of</w:t>
      </w:r>
      <w:r w:rsidR="00854D45" w:rsidRPr="007E408A">
        <w:rPr>
          <w:szCs w:val="24"/>
        </w:rPr>
        <w:t xml:space="preserve"> North Farmersville, Caddo Basin, and West Leonard.  </w:t>
      </w:r>
    </w:p>
    <w:p w:rsidR="007352D4" w:rsidRPr="007E408A" w:rsidRDefault="007352D4" w:rsidP="00854D45">
      <w:pPr>
        <w:pStyle w:val="FOFNumbered"/>
        <w:rPr>
          <w:szCs w:val="24"/>
        </w:rPr>
      </w:pPr>
      <w:r w:rsidRPr="007E408A">
        <w:rPr>
          <w:szCs w:val="24"/>
        </w:rPr>
        <w:t xml:space="preserve">The customers to be transferred are identified in the application, exhibit </w:t>
      </w:r>
      <w:r w:rsidR="000F7337" w:rsidRPr="007E408A">
        <w:rPr>
          <w:szCs w:val="24"/>
        </w:rPr>
        <w:t>B</w:t>
      </w:r>
      <w:r w:rsidRPr="007E408A">
        <w:rPr>
          <w:szCs w:val="24"/>
        </w:rPr>
        <w:t xml:space="preserve"> to Frognot’s resolution no. 2016-1.</w:t>
      </w:r>
      <w:r w:rsidR="0041769D" w:rsidRPr="007E408A">
        <w:rPr>
          <w:szCs w:val="24"/>
        </w:rPr>
        <w:t xml:space="preserve"> </w:t>
      </w:r>
    </w:p>
    <w:p w:rsidR="0041769D" w:rsidRPr="007E408A" w:rsidRDefault="0041769D" w:rsidP="00854D45">
      <w:pPr>
        <w:pStyle w:val="FOFNumbered"/>
        <w:rPr>
          <w:szCs w:val="24"/>
        </w:rPr>
      </w:pPr>
      <w:r w:rsidRPr="007E408A">
        <w:rPr>
          <w:szCs w:val="24"/>
        </w:rPr>
        <w:t xml:space="preserve">The facilities to be transferred are identified in the application, exhibit </w:t>
      </w:r>
      <w:r w:rsidR="000F7337" w:rsidRPr="007E408A">
        <w:rPr>
          <w:szCs w:val="24"/>
        </w:rPr>
        <w:t>C</w:t>
      </w:r>
      <w:r w:rsidRPr="007E408A">
        <w:rPr>
          <w:szCs w:val="24"/>
        </w:rPr>
        <w:t xml:space="preserve"> to Frognot’s resolution no. 2016-1.</w:t>
      </w:r>
    </w:p>
    <w:p w:rsidR="00854D45" w:rsidRPr="007E408A" w:rsidRDefault="00854D45" w:rsidP="00854D45">
      <w:pPr>
        <w:pStyle w:val="FOFNumbered"/>
        <w:rPr>
          <w:szCs w:val="24"/>
        </w:rPr>
      </w:pPr>
      <w:r w:rsidRPr="007E408A">
        <w:rPr>
          <w:szCs w:val="24"/>
        </w:rPr>
        <w:t xml:space="preserve">The </w:t>
      </w:r>
      <w:r w:rsidR="00CF55DF" w:rsidRPr="007E408A">
        <w:rPr>
          <w:szCs w:val="24"/>
        </w:rPr>
        <w:t>proposed</w:t>
      </w:r>
      <w:r w:rsidRPr="007E408A">
        <w:rPr>
          <w:szCs w:val="24"/>
        </w:rPr>
        <w:t xml:space="preserve"> service area</w:t>
      </w:r>
      <w:r w:rsidR="00CF55DF" w:rsidRPr="007E408A">
        <w:rPr>
          <w:szCs w:val="24"/>
        </w:rPr>
        <w:t>s</w:t>
      </w:r>
      <w:r w:rsidRPr="007E408A">
        <w:rPr>
          <w:szCs w:val="24"/>
        </w:rPr>
        <w:t xml:space="preserve"> </w:t>
      </w:r>
      <w:r w:rsidR="00331FD8" w:rsidRPr="007E408A">
        <w:rPr>
          <w:szCs w:val="24"/>
        </w:rPr>
        <w:t xml:space="preserve">to be dually certificated </w:t>
      </w:r>
      <w:r w:rsidR="00CF55DF" w:rsidRPr="007E408A">
        <w:rPr>
          <w:szCs w:val="24"/>
        </w:rPr>
        <w:t>include</w:t>
      </w:r>
      <w:r w:rsidRPr="007E408A">
        <w:rPr>
          <w:szCs w:val="24"/>
        </w:rPr>
        <w:t xml:space="preserve"> </w:t>
      </w:r>
      <w:r w:rsidR="0061404E" w:rsidRPr="007E408A">
        <w:rPr>
          <w:szCs w:val="24"/>
        </w:rPr>
        <w:t xml:space="preserve">a total of </w:t>
      </w:r>
      <w:r w:rsidRPr="007E408A">
        <w:rPr>
          <w:szCs w:val="24"/>
        </w:rPr>
        <w:t xml:space="preserve">approximately 1,331 acres and </w:t>
      </w:r>
      <w:r w:rsidR="000F7337" w:rsidRPr="007E408A">
        <w:rPr>
          <w:szCs w:val="24"/>
        </w:rPr>
        <w:t>63</w:t>
      </w:r>
      <w:r w:rsidRPr="007E408A">
        <w:rPr>
          <w:szCs w:val="24"/>
        </w:rPr>
        <w:t xml:space="preserve"> current customers</w:t>
      </w:r>
      <w:r w:rsidR="00A2575A" w:rsidRPr="007E408A">
        <w:rPr>
          <w:szCs w:val="24"/>
        </w:rPr>
        <w:t xml:space="preserve"> </w:t>
      </w:r>
      <w:r w:rsidR="00CF55DF" w:rsidRPr="007E408A">
        <w:rPr>
          <w:szCs w:val="24"/>
        </w:rPr>
        <w:t xml:space="preserve">adjoining Frognot’s current CCN service area.  One </w:t>
      </w:r>
      <w:r w:rsidR="00CF55DF" w:rsidRPr="007E408A">
        <w:rPr>
          <w:szCs w:val="24"/>
        </w:rPr>
        <w:lastRenderedPageBreak/>
        <w:t>proposed area adjoins the northern portion of Frognot’s service area in Fannin County.  The other proposed area</w:t>
      </w:r>
      <w:r w:rsidR="008F7C5E" w:rsidRPr="007E408A">
        <w:rPr>
          <w:szCs w:val="24"/>
        </w:rPr>
        <w:t>s adjoin</w:t>
      </w:r>
      <w:r w:rsidR="00CF55DF" w:rsidRPr="007E408A">
        <w:rPr>
          <w:szCs w:val="24"/>
        </w:rPr>
        <w:t xml:space="preserve"> the southern portion of Frognot’s service area in Collin County.</w:t>
      </w:r>
      <w:r w:rsidRPr="007E408A">
        <w:rPr>
          <w:szCs w:val="24"/>
        </w:rPr>
        <w:t xml:space="preserve"> </w:t>
      </w:r>
    </w:p>
    <w:p w:rsidR="00085FE8" w:rsidRPr="007E408A" w:rsidRDefault="00B017B2" w:rsidP="00085FE8">
      <w:pPr>
        <w:pStyle w:val="FOFNumbered"/>
        <w:rPr>
          <w:szCs w:val="24"/>
        </w:rPr>
      </w:pPr>
      <w:r w:rsidRPr="007E408A">
        <w:rPr>
          <w:szCs w:val="24"/>
        </w:rPr>
        <w:t>One of t</w:t>
      </w:r>
      <w:r w:rsidR="00126C01" w:rsidRPr="007E408A">
        <w:rPr>
          <w:szCs w:val="24"/>
        </w:rPr>
        <w:t>he proposed area</w:t>
      </w:r>
      <w:r w:rsidRPr="007E408A">
        <w:rPr>
          <w:szCs w:val="24"/>
        </w:rPr>
        <w:t>s</w:t>
      </w:r>
      <w:r w:rsidR="00126C01" w:rsidRPr="007E408A">
        <w:rPr>
          <w:szCs w:val="24"/>
        </w:rPr>
        <w:t xml:space="preserve"> </w:t>
      </w:r>
      <w:r w:rsidRPr="007E408A">
        <w:rPr>
          <w:szCs w:val="24"/>
        </w:rPr>
        <w:t>for dual certification abuts Frognot’s southern boundary and is</w:t>
      </w:r>
      <w:r w:rsidR="0033393B" w:rsidRPr="007E408A">
        <w:rPr>
          <w:szCs w:val="24"/>
        </w:rPr>
        <w:t xml:space="preserve"> located approximately five miles</w:t>
      </w:r>
      <w:r w:rsidRPr="007E408A">
        <w:rPr>
          <w:szCs w:val="24"/>
        </w:rPr>
        <w:t xml:space="preserve"> north of downtown Farmersville.  It </w:t>
      </w:r>
      <w:r w:rsidR="00126C01" w:rsidRPr="007E408A">
        <w:rPr>
          <w:szCs w:val="24"/>
        </w:rPr>
        <w:t xml:space="preserve">is </w:t>
      </w:r>
      <w:r w:rsidR="00085FE8" w:rsidRPr="007E408A">
        <w:rPr>
          <w:szCs w:val="24"/>
        </w:rPr>
        <w:t>approximately 1205 acres inside of North Farmersville’s CCN</w:t>
      </w:r>
      <w:r w:rsidRPr="007E408A">
        <w:rPr>
          <w:szCs w:val="24"/>
        </w:rPr>
        <w:t>.  The boundaries of this proposed area coincide with the Frognot and Caddo Basin</w:t>
      </w:r>
      <w:r w:rsidR="009A229D" w:rsidRPr="007E408A">
        <w:rPr>
          <w:szCs w:val="24"/>
        </w:rPr>
        <w:t>’s CCN</w:t>
      </w:r>
      <w:r w:rsidRPr="007E408A">
        <w:rPr>
          <w:szCs w:val="24"/>
        </w:rPr>
        <w:t xml:space="preserve"> boundary on the north</w:t>
      </w:r>
      <w:r w:rsidR="00A62C57" w:rsidRPr="007E408A">
        <w:rPr>
          <w:szCs w:val="24"/>
        </w:rPr>
        <w:t>;</w:t>
      </w:r>
      <w:r w:rsidRPr="007E408A">
        <w:rPr>
          <w:szCs w:val="24"/>
        </w:rPr>
        <w:t xml:space="preserve"> the </w:t>
      </w:r>
      <w:r w:rsidR="00126C01" w:rsidRPr="007E408A">
        <w:rPr>
          <w:szCs w:val="24"/>
        </w:rPr>
        <w:t>Caddo Basin</w:t>
      </w:r>
      <w:r w:rsidR="00085FE8" w:rsidRPr="007E408A">
        <w:rPr>
          <w:szCs w:val="24"/>
        </w:rPr>
        <w:t xml:space="preserve"> </w:t>
      </w:r>
      <w:r w:rsidR="009A229D" w:rsidRPr="007E408A">
        <w:rPr>
          <w:szCs w:val="24"/>
        </w:rPr>
        <w:t xml:space="preserve">CCN </w:t>
      </w:r>
      <w:r w:rsidRPr="007E408A">
        <w:rPr>
          <w:szCs w:val="24"/>
        </w:rPr>
        <w:t xml:space="preserve">boundary </w:t>
      </w:r>
      <w:r w:rsidR="00A62C57" w:rsidRPr="007E408A">
        <w:rPr>
          <w:szCs w:val="24"/>
        </w:rPr>
        <w:t>on the east;</w:t>
      </w:r>
      <w:r w:rsidR="00126C01" w:rsidRPr="007E408A">
        <w:rPr>
          <w:szCs w:val="24"/>
        </w:rPr>
        <w:t xml:space="preserve"> </w:t>
      </w:r>
      <w:r w:rsidRPr="007E408A">
        <w:rPr>
          <w:szCs w:val="24"/>
        </w:rPr>
        <w:t xml:space="preserve">and the western boundary of North Farmersville </w:t>
      </w:r>
      <w:r w:rsidR="009A229D" w:rsidRPr="007E408A">
        <w:rPr>
          <w:szCs w:val="24"/>
        </w:rPr>
        <w:t xml:space="preserve">CCN </w:t>
      </w:r>
      <w:r w:rsidRPr="007E408A">
        <w:rPr>
          <w:szCs w:val="24"/>
        </w:rPr>
        <w:t>on the west.  The southern boundary bisects North Farmersville’s certificated area just</w:t>
      </w:r>
      <w:r w:rsidR="00085FE8" w:rsidRPr="007E408A">
        <w:rPr>
          <w:szCs w:val="24"/>
        </w:rPr>
        <w:t xml:space="preserve"> south </w:t>
      </w:r>
      <w:r w:rsidRPr="007E408A">
        <w:rPr>
          <w:szCs w:val="24"/>
        </w:rPr>
        <w:t>and parallel to CR 662.</w:t>
      </w:r>
    </w:p>
    <w:p w:rsidR="00126C01" w:rsidRPr="007E408A" w:rsidRDefault="003E04F9" w:rsidP="003E04F9">
      <w:pPr>
        <w:pStyle w:val="FOFNumbered"/>
        <w:rPr>
          <w:szCs w:val="24"/>
        </w:rPr>
      </w:pPr>
      <w:r w:rsidRPr="007E408A">
        <w:rPr>
          <w:szCs w:val="24"/>
        </w:rPr>
        <w:t>A</w:t>
      </w:r>
      <w:r w:rsidR="00577F13" w:rsidRPr="007E408A">
        <w:rPr>
          <w:szCs w:val="24"/>
        </w:rPr>
        <w:t xml:space="preserve"> second</w:t>
      </w:r>
      <w:r w:rsidRPr="007E408A">
        <w:rPr>
          <w:szCs w:val="24"/>
        </w:rPr>
        <w:t xml:space="preserve"> proposed area for dual certification intersects Frognot’s southern boundary</w:t>
      </w:r>
      <w:r w:rsidR="009A229D" w:rsidRPr="007E408A">
        <w:rPr>
          <w:szCs w:val="24"/>
        </w:rPr>
        <w:t xml:space="preserve"> is an </w:t>
      </w:r>
      <w:r w:rsidR="00126C01" w:rsidRPr="007E408A">
        <w:rPr>
          <w:szCs w:val="24"/>
        </w:rPr>
        <w:t xml:space="preserve">approximately </w:t>
      </w:r>
      <w:r w:rsidR="009A229D" w:rsidRPr="007E408A">
        <w:rPr>
          <w:szCs w:val="24"/>
        </w:rPr>
        <w:t>18 acre</w:t>
      </w:r>
      <w:r w:rsidR="00126C01" w:rsidRPr="007E408A">
        <w:rPr>
          <w:szCs w:val="24"/>
        </w:rPr>
        <w:t xml:space="preserve"> </w:t>
      </w:r>
      <w:r w:rsidR="009A229D" w:rsidRPr="007E408A">
        <w:rPr>
          <w:szCs w:val="24"/>
        </w:rPr>
        <w:t xml:space="preserve">rectangular area </w:t>
      </w:r>
      <w:r w:rsidR="00A62C57" w:rsidRPr="007E408A">
        <w:rPr>
          <w:szCs w:val="24"/>
        </w:rPr>
        <w:t>that bisects</w:t>
      </w:r>
      <w:r w:rsidR="00126C01" w:rsidRPr="007E408A">
        <w:rPr>
          <w:szCs w:val="24"/>
        </w:rPr>
        <w:t xml:space="preserve"> Caddo Basin’s CCN</w:t>
      </w:r>
      <w:r w:rsidR="00A62C57" w:rsidRPr="007E408A">
        <w:rPr>
          <w:szCs w:val="24"/>
        </w:rPr>
        <w:t xml:space="preserve"> to accommodate Frognot’</w:t>
      </w:r>
      <w:r w:rsidR="00577F13" w:rsidRPr="007E408A">
        <w:rPr>
          <w:szCs w:val="24"/>
        </w:rPr>
        <w:t>s existing water-distribution-</w:t>
      </w:r>
      <w:r w:rsidR="00A62C57" w:rsidRPr="007E408A">
        <w:rPr>
          <w:szCs w:val="24"/>
        </w:rPr>
        <w:t>line extension along Collin CR 660</w:t>
      </w:r>
      <w:r w:rsidRPr="007E408A">
        <w:rPr>
          <w:szCs w:val="24"/>
        </w:rPr>
        <w:t xml:space="preserve">.  The boundaries of this proposed </w:t>
      </w:r>
      <w:r w:rsidR="00577F13" w:rsidRPr="007E408A">
        <w:rPr>
          <w:szCs w:val="24"/>
        </w:rPr>
        <w:t xml:space="preserve">area </w:t>
      </w:r>
      <w:r w:rsidR="00A62C57" w:rsidRPr="007E408A">
        <w:rPr>
          <w:szCs w:val="24"/>
        </w:rPr>
        <w:t>coincide</w:t>
      </w:r>
      <w:r w:rsidR="00577F13" w:rsidRPr="007E408A">
        <w:rPr>
          <w:szCs w:val="24"/>
        </w:rPr>
        <w:t>s</w:t>
      </w:r>
      <w:r w:rsidR="00A62C57" w:rsidRPr="007E408A">
        <w:rPr>
          <w:szCs w:val="24"/>
        </w:rPr>
        <w:t xml:space="preserve"> with the Frognot boundary on the north and with the Caddo Basin boundary on the south</w:t>
      </w:r>
      <w:r w:rsidR="00577F13" w:rsidRPr="007E408A">
        <w:rPr>
          <w:szCs w:val="24"/>
        </w:rPr>
        <w:t xml:space="preserve">. </w:t>
      </w:r>
      <w:r w:rsidR="00126C01" w:rsidRPr="007E408A">
        <w:rPr>
          <w:szCs w:val="24"/>
        </w:rPr>
        <w:t xml:space="preserve"> </w:t>
      </w:r>
      <w:r w:rsidR="00577F13" w:rsidRPr="007E408A">
        <w:rPr>
          <w:szCs w:val="24"/>
        </w:rPr>
        <w:t xml:space="preserve">The boundary </w:t>
      </w:r>
      <w:r w:rsidR="00126C01" w:rsidRPr="007E408A">
        <w:rPr>
          <w:szCs w:val="24"/>
        </w:rPr>
        <w:t xml:space="preserve">on the east </w:t>
      </w:r>
      <w:r w:rsidR="00577F13" w:rsidRPr="007E408A">
        <w:rPr>
          <w:szCs w:val="24"/>
        </w:rPr>
        <w:t xml:space="preserve">is </w:t>
      </w:r>
      <w:r w:rsidR="00126C01" w:rsidRPr="007E408A">
        <w:rPr>
          <w:szCs w:val="24"/>
        </w:rPr>
        <w:t xml:space="preserve">Collin CR </w:t>
      </w:r>
      <w:r w:rsidR="00A62C57" w:rsidRPr="007E408A">
        <w:rPr>
          <w:szCs w:val="24"/>
        </w:rPr>
        <w:t>660</w:t>
      </w:r>
      <w:r w:rsidR="00577F13" w:rsidRPr="007E408A">
        <w:rPr>
          <w:szCs w:val="24"/>
        </w:rPr>
        <w:t xml:space="preserve"> and </w:t>
      </w:r>
      <w:r w:rsidR="00126C01" w:rsidRPr="007E408A">
        <w:rPr>
          <w:szCs w:val="24"/>
        </w:rPr>
        <w:t xml:space="preserve">on the </w:t>
      </w:r>
      <w:r w:rsidR="00274E7F" w:rsidRPr="007E408A">
        <w:rPr>
          <w:szCs w:val="24"/>
        </w:rPr>
        <w:t>west,</w:t>
      </w:r>
      <w:r w:rsidR="00126C01" w:rsidRPr="007E408A">
        <w:rPr>
          <w:szCs w:val="24"/>
        </w:rPr>
        <w:t xml:space="preserve"> </w:t>
      </w:r>
      <w:r w:rsidR="00577F13" w:rsidRPr="007E408A">
        <w:rPr>
          <w:szCs w:val="24"/>
        </w:rPr>
        <w:t xml:space="preserve">the boundary is established </w:t>
      </w:r>
      <w:r w:rsidR="00126C01" w:rsidRPr="007E408A">
        <w:rPr>
          <w:szCs w:val="24"/>
        </w:rPr>
        <w:t xml:space="preserve">by </w:t>
      </w:r>
      <w:r w:rsidR="00577F13" w:rsidRPr="007E408A">
        <w:rPr>
          <w:szCs w:val="24"/>
        </w:rPr>
        <w:t>a line parallel to but sufficiently west of Collin CR 660 to encompass 18 acres.</w:t>
      </w:r>
    </w:p>
    <w:p w:rsidR="00577F13" w:rsidRPr="007E408A" w:rsidRDefault="009A229D" w:rsidP="003E04F9">
      <w:pPr>
        <w:pStyle w:val="FOFNumbered"/>
        <w:rPr>
          <w:szCs w:val="24"/>
        </w:rPr>
      </w:pPr>
      <w:r w:rsidRPr="007E408A">
        <w:rPr>
          <w:szCs w:val="24"/>
        </w:rPr>
        <w:t>The third</w:t>
      </w:r>
      <w:r w:rsidR="00577F13" w:rsidRPr="007E408A">
        <w:rPr>
          <w:szCs w:val="24"/>
        </w:rPr>
        <w:t xml:space="preserve"> proposed area for dual certification </w:t>
      </w:r>
      <w:r w:rsidRPr="007E408A">
        <w:rPr>
          <w:szCs w:val="24"/>
        </w:rPr>
        <w:t>abu</w:t>
      </w:r>
      <w:r w:rsidR="00577F13" w:rsidRPr="007E408A">
        <w:rPr>
          <w:szCs w:val="24"/>
        </w:rPr>
        <w:t xml:space="preserve">ts Frognot’s </w:t>
      </w:r>
      <w:r w:rsidRPr="007E408A">
        <w:rPr>
          <w:szCs w:val="24"/>
        </w:rPr>
        <w:t>nor</w:t>
      </w:r>
      <w:r w:rsidR="00577F13" w:rsidRPr="007E408A">
        <w:rPr>
          <w:szCs w:val="24"/>
        </w:rPr>
        <w:t>thern boundary</w:t>
      </w:r>
      <w:r w:rsidRPr="007E408A">
        <w:rPr>
          <w:szCs w:val="24"/>
        </w:rPr>
        <w:t xml:space="preserve"> and is located 7.8 miles west-southwest of downtown Leonard, Texas.</w:t>
      </w:r>
      <w:r w:rsidR="00577F13" w:rsidRPr="007E408A">
        <w:rPr>
          <w:szCs w:val="24"/>
        </w:rPr>
        <w:t xml:space="preserve">  It is approximately 1</w:t>
      </w:r>
      <w:r w:rsidRPr="007E408A">
        <w:rPr>
          <w:szCs w:val="24"/>
        </w:rPr>
        <w:t>0</w:t>
      </w:r>
      <w:r w:rsidR="00577F13" w:rsidRPr="007E408A">
        <w:rPr>
          <w:szCs w:val="24"/>
        </w:rPr>
        <w:t xml:space="preserve">8 acres </w:t>
      </w:r>
      <w:r w:rsidRPr="007E408A">
        <w:rPr>
          <w:szCs w:val="24"/>
        </w:rPr>
        <w:t>inside of West Leonard’s CCN</w:t>
      </w:r>
      <w:r w:rsidR="00577F13" w:rsidRPr="007E408A">
        <w:rPr>
          <w:szCs w:val="24"/>
        </w:rPr>
        <w:t xml:space="preserve">.  The </w:t>
      </w:r>
      <w:r w:rsidR="009B18C0" w:rsidRPr="007E408A">
        <w:rPr>
          <w:szCs w:val="24"/>
        </w:rPr>
        <w:t>southern boundary</w:t>
      </w:r>
      <w:r w:rsidR="00577F13" w:rsidRPr="007E408A">
        <w:rPr>
          <w:szCs w:val="24"/>
        </w:rPr>
        <w:t xml:space="preserve"> of this proposed area coincides with </w:t>
      </w:r>
      <w:r w:rsidR="00274E7F" w:rsidRPr="007E408A">
        <w:rPr>
          <w:szCs w:val="24"/>
        </w:rPr>
        <w:t xml:space="preserve">the </w:t>
      </w:r>
      <w:r w:rsidR="00577F13" w:rsidRPr="007E408A">
        <w:rPr>
          <w:szCs w:val="24"/>
        </w:rPr>
        <w:t>Frognot</w:t>
      </w:r>
      <w:r w:rsidRPr="007E408A">
        <w:rPr>
          <w:szCs w:val="24"/>
        </w:rPr>
        <w:t xml:space="preserve"> CCN</w:t>
      </w:r>
      <w:r w:rsidR="009B18C0" w:rsidRPr="007E408A">
        <w:rPr>
          <w:szCs w:val="24"/>
        </w:rPr>
        <w:t xml:space="preserve">’s northern </w:t>
      </w:r>
      <w:r w:rsidR="00577F13" w:rsidRPr="007E408A">
        <w:rPr>
          <w:szCs w:val="24"/>
        </w:rPr>
        <w:t xml:space="preserve">boundary </w:t>
      </w:r>
      <w:r w:rsidR="009B18C0" w:rsidRPr="007E408A">
        <w:rPr>
          <w:szCs w:val="24"/>
        </w:rPr>
        <w:t>(the Fannin-Collin County line)</w:t>
      </w:r>
      <w:r w:rsidR="00577F13" w:rsidRPr="007E408A">
        <w:rPr>
          <w:szCs w:val="24"/>
        </w:rPr>
        <w:t xml:space="preserve">.  The </w:t>
      </w:r>
      <w:r w:rsidR="009B18C0" w:rsidRPr="007E408A">
        <w:rPr>
          <w:szCs w:val="24"/>
        </w:rPr>
        <w:t xml:space="preserve">eastern </w:t>
      </w:r>
      <w:r w:rsidR="00577F13" w:rsidRPr="007E408A">
        <w:rPr>
          <w:szCs w:val="24"/>
        </w:rPr>
        <w:t xml:space="preserve">boundary is </w:t>
      </w:r>
      <w:r w:rsidR="009B18C0" w:rsidRPr="007E408A">
        <w:rPr>
          <w:szCs w:val="24"/>
        </w:rPr>
        <w:t xml:space="preserve">Fannin </w:t>
      </w:r>
      <w:r w:rsidR="00577F13" w:rsidRPr="007E408A">
        <w:rPr>
          <w:szCs w:val="24"/>
        </w:rPr>
        <w:t xml:space="preserve">CR </w:t>
      </w:r>
      <w:r w:rsidR="009B18C0" w:rsidRPr="007E408A">
        <w:rPr>
          <w:szCs w:val="24"/>
        </w:rPr>
        <w:t>5</w:t>
      </w:r>
      <w:r w:rsidR="0033393B" w:rsidRPr="007E408A">
        <w:rPr>
          <w:szCs w:val="24"/>
        </w:rPr>
        <w:t>00</w:t>
      </w:r>
      <w:r w:rsidR="009B18C0" w:rsidRPr="007E408A">
        <w:rPr>
          <w:szCs w:val="24"/>
        </w:rPr>
        <w:t>5</w:t>
      </w:r>
      <w:r w:rsidR="00577F13" w:rsidRPr="007E408A">
        <w:rPr>
          <w:szCs w:val="24"/>
        </w:rPr>
        <w:t xml:space="preserve"> and the west</w:t>
      </w:r>
      <w:r w:rsidR="009B18C0" w:rsidRPr="007E408A">
        <w:rPr>
          <w:szCs w:val="24"/>
        </w:rPr>
        <w:t>ern</w:t>
      </w:r>
      <w:r w:rsidR="00577F13" w:rsidRPr="007E408A">
        <w:rPr>
          <w:szCs w:val="24"/>
        </w:rPr>
        <w:t xml:space="preserve"> boundary </w:t>
      </w:r>
      <w:r w:rsidR="009B18C0" w:rsidRPr="007E408A">
        <w:rPr>
          <w:szCs w:val="24"/>
        </w:rPr>
        <w:t>coincides with the western boundary of West Leonard’s CCN</w:t>
      </w:r>
      <w:r w:rsidR="00274E7F" w:rsidRPr="007E408A">
        <w:rPr>
          <w:szCs w:val="24"/>
        </w:rPr>
        <w:t>.  The proposed area’s northern boundary is established by a straight line sufficiently north of the Fannin-Collin County line to encompass 108 acres.</w:t>
      </w:r>
    </w:p>
    <w:p w:rsidR="00AD6FBE" w:rsidRPr="007E408A" w:rsidRDefault="00F0285F" w:rsidP="00AD6FBE">
      <w:pPr>
        <w:pStyle w:val="FOFNumbered"/>
        <w:rPr>
          <w:szCs w:val="24"/>
        </w:rPr>
      </w:pPr>
      <w:r w:rsidRPr="007E408A">
        <w:rPr>
          <w:szCs w:val="24"/>
        </w:rPr>
        <w:t xml:space="preserve">North Farmersville </w:t>
      </w:r>
      <w:r w:rsidR="00AD6FBE" w:rsidRPr="007E408A">
        <w:rPr>
          <w:szCs w:val="24"/>
        </w:rPr>
        <w:t xml:space="preserve">agreed to the sale </w:t>
      </w:r>
      <w:r w:rsidR="00CE3219" w:rsidRPr="007E408A">
        <w:rPr>
          <w:szCs w:val="24"/>
        </w:rPr>
        <w:t>to</w:t>
      </w:r>
      <w:r w:rsidR="00274E7F" w:rsidRPr="007E408A">
        <w:rPr>
          <w:szCs w:val="24"/>
        </w:rPr>
        <w:t xml:space="preserve"> </w:t>
      </w:r>
      <w:proofErr w:type="spellStart"/>
      <w:r w:rsidR="00274E7F" w:rsidRPr="007E408A">
        <w:rPr>
          <w:szCs w:val="24"/>
        </w:rPr>
        <w:t>Frognot</w:t>
      </w:r>
      <w:proofErr w:type="spellEnd"/>
      <w:r w:rsidR="00274E7F" w:rsidRPr="007E408A">
        <w:rPr>
          <w:szCs w:val="24"/>
        </w:rPr>
        <w:t xml:space="preserve"> </w:t>
      </w:r>
      <w:r w:rsidR="00AD6FBE" w:rsidRPr="007E408A">
        <w:rPr>
          <w:szCs w:val="24"/>
        </w:rPr>
        <w:t xml:space="preserve">of </w:t>
      </w:r>
      <w:r w:rsidRPr="007E408A">
        <w:rPr>
          <w:szCs w:val="24"/>
        </w:rPr>
        <w:t xml:space="preserve">certain of its </w:t>
      </w:r>
      <w:r w:rsidR="00AD6FBE" w:rsidRPr="007E408A">
        <w:rPr>
          <w:szCs w:val="24"/>
        </w:rPr>
        <w:t xml:space="preserve">facilities and </w:t>
      </w:r>
      <w:r w:rsidRPr="007E408A">
        <w:rPr>
          <w:szCs w:val="24"/>
        </w:rPr>
        <w:t xml:space="preserve">North Farmersville, Caddo Basin and West Leonard agreed to dual certification </w:t>
      </w:r>
      <w:r w:rsidR="00274E7F" w:rsidRPr="007E408A">
        <w:rPr>
          <w:szCs w:val="24"/>
        </w:rPr>
        <w:t xml:space="preserve">with Frognot </w:t>
      </w:r>
      <w:r w:rsidRPr="007E408A">
        <w:rPr>
          <w:szCs w:val="24"/>
        </w:rPr>
        <w:t xml:space="preserve">of </w:t>
      </w:r>
      <w:r w:rsidR="00274E7F" w:rsidRPr="007E408A">
        <w:rPr>
          <w:szCs w:val="24"/>
        </w:rPr>
        <w:t xml:space="preserve">the areas generally described in </w:t>
      </w:r>
      <w:r w:rsidR="0041769D" w:rsidRPr="007E408A">
        <w:rPr>
          <w:szCs w:val="24"/>
        </w:rPr>
        <w:t>findings of</w:t>
      </w:r>
      <w:r w:rsidR="00274E7F" w:rsidRPr="007E408A">
        <w:rPr>
          <w:szCs w:val="24"/>
        </w:rPr>
        <w:t xml:space="preserve"> fact </w:t>
      </w:r>
      <w:r w:rsidR="0041769D" w:rsidRPr="007E408A">
        <w:rPr>
          <w:szCs w:val="24"/>
        </w:rPr>
        <w:t>12, 13 and 14</w:t>
      </w:r>
      <w:r w:rsidRPr="007E408A">
        <w:rPr>
          <w:szCs w:val="24"/>
        </w:rPr>
        <w:t>.</w:t>
      </w:r>
    </w:p>
    <w:p w:rsidR="006C6736" w:rsidRPr="007E408A" w:rsidRDefault="006C6736" w:rsidP="006C6736">
      <w:pPr>
        <w:pStyle w:val="Heading7"/>
        <w:rPr>
          <w:rFonts w:cs="Times New Roman"/>
        </w:rPr>
      </w:pPr>
      <w:r w:rsidRPr="007E408A">
        <w:rPr>
          <w:rFonts w:cs="Times New Roman"/>
        </w:rPr>
        <w:lastRenderedPageBreak/>
        <w:t xml:space="preserve">Notice </w:t>
      </w:r>
      <w:r w:rsidR="005C0FF4" w:rsidRPr="007E408A">
        <w:rPr>
          <w:rFonts w:cs="Times New Roman"/>
        </w:rPr>
        <w:t>of the Application</w:t>
      </w:r>
      <w:r w:rsidR="00802204" w:rsidRPr="007E408A">
        <w:rPr>
          <w:rFonts w:cs="Times New Roman"/>
        </w:rPr>
        <w:t xml:space="preserve"> </w:t>
      </w:r>
      <w:r w:rsidR="00340D61" w:rsidRPr="007E408A">
        <w:rPr>
          <w:rFonts w:cs="Times New Roman"/>
        </w:rPr>
        <w:t xml:space="preserve">– </w:t>
      </w:r>
      <w:r w:rsidR="00854D45" w:rsidRPr="007E408A">
        <w:rPr>
          <w:rFonts w:cs="Times New Roman"/>
        </w:rPr>
        <w:t>TWC § 13.301(a</w:t>
      </w:r>
      <w:proofErr w:type="gramStart"/>
      <w:r w:rsidR="00854D45" w:rsidRPr="007E408A">
        <w:rPr>
          <w:rFonts w:cs="Times New Roman"/>
        </w:rPr>
        <w:t>)(</w:t>
      </w:r>
      <w:proofErr w:type="gramEnd"/>
      <w:r w:rsidR="00854D45" w:rsidRPr="007E408A">
        <w:rPr>
          <w:rFonts w:cs="Times New Roman"/>
        </w:rPr>
        <w:t xml:space="preserve">2), 16 </w:t>
      </w:r>
      <w:r w:rsidR="00CE3219" w:rsidRPr="007E408A">
        <w:rPr>
          <w:rFonts w:cs="Times New Roman"/>
        </w:rPr>
        <w:t>Texas Administrative Code (</w:t>
      </w:r>
      <w:r w:rsidR="00854D45" w:rsidRPr="007E408A">
        <w:rPr>
          <w:rFonts w:cs="Times New Roman"/>
        </w:rPr>
        <w:t>TAC</w:t>
      </w:r>
      <w:r w:rsidR="00CE3219" w:rsidRPr="007E408A">
        <w:rPr>
          <w:rFonts w:cs="Times New Roman"/>
        </w:rPr>
        <w:t>)</w:t>
      </w:r>
      <w:r w:rsidR="00854D45" w:rsidRPr="007E408A">
        <w:rPr>
          <w:rFonts w:cs="Times New Roman"/>
        </w:rPr>
        <w:t xml:space="preserve"> § 24.239(a)</w:t>
      </w:r>
      <w:r w:rsidR="00854D45" w:rsidRPr="007E408A">
        <w:rPr>
          <w:rFonts w:cs="Times New Roman"/>
          <w:b w:val="0"/>
        </w:rPr>
        <w:t>–</w:t>
      </w:r>
      <w:r w:rsidR="00854D45" w:rsidRPr="007E408A">
        <w:rPr>
          <w:rFonts w:cs="Times New Roman"/>
        </w:rPr>
        <w:t>(c)</w:t>
      </w:r>
    </w:p>
    <w:p w:rsidR="006C6736" w:rsidRPr="007E408A" w:rsidRDefault="006C6736" w:rsidP="006C6736">
      <w:pPr>
        <w:pStyle w:val="FOFNumbered"/>
        <w:rPr>
          <w:szCs w:val="24"/>
        </w:rPr>
      </w:pPr>
      <w:r w:rsidRPr="007E408A">
        <w:rPr>
          <w:szCs w:val="24"/>
        </w:rPr>
        <w:t xml:space="preserve">Notice of the application appeared in the </w:t>
      </w:r>
      <w:r w:rsidR="00250801" w:rsidRPr="007E408A">
        <w:rPr>
          <w:szCs w:val="24"/>
        </w:rPr>
        <w:t>June 2</w:t>
      </w:r>
      <w:r w:rsidRPr="007E408A">
        <w:rPr>
          <w:szCs w:val="24"/>
        </w:rPr>
        <w:t xml:space="preserve">, 2017 issue of the </w:t>
      </w:r>
      <w:r w:rsidRPr="007E408A">
        <w:rPr>
          <w:i/>
          <w:szCs w:val="24"/>
        </w:rPr>
        <w:t>Texas Register</w:t>
      </w:r>
      <w:r w:rsidRPr="007E408A">
        <w:rPr>
          <w:szCs w:val="24"/>
        </w:rPr>
        <w:t>.</w:t>
      </w:r>
    </w:p>
    <w:p w:rsidR="00331FD8" w:rsidRPr="007E408A" w:rsidRDefault="00331FD8" w:rsidP="00331FD8">
      <w:pPr>
        <w:pStyle w:val="FOFNumbered"/>
        <w:rPr>
          <w:szCs w:val="24"/>
        </w:rPr>
      </w:pPr>
      <w:r w:rsidRPr="007E408A">
        <w:rPr>
          <w:szCs w:val="24"/>
        </w:rPr>
        <w:t xml:space="preserve">In Order No. 4 issued on August 29, 2017, ALJ found the application administratively complete and directed Frognot and North Farmersville to provide notice of the application and proof of notice in the manner and form described by Commission Staff. </w:t>
      </w:r>
    </w:p>
    <w:p w:rsidR="00B427E4" w:rsidRPr="007E408A" w:rsidRDefault="006C6736" w:rsidP="00B427E4">
      <w:pPr>
        <w:pStyle w:val="FOFNumbered"/>
        <w:rPr>
          <w:szCs w:val="24"/>
        </w:rPr>
      </w:pPr>
      <w:r w:rsidRPr="007E408A">
        <w:rPr>
          <w:szCs w:val="24"/>
        </w:rPr>
        <w:t xml:space="preserve">On September </w:t>
      </w:r>
      <w:r w:rsidR="00250801" w:rsidRPr="007E408A">
        <w:rPr>
          <w:szCs w:val="24"/>
        </w:rPr>
        <w:t>18</w:t>
      </w:r>
      <w:r w:rsidRPr="007E408A">
        <w:rPr>
          <w:szCs w:val="24"/>
        </w:rPr>
        <w:t xml:space="preserve">, 2017, </w:t>
      </w:r>
      <w:r w:rsidR="00250801" w:rsidRPr="007E408A">
        <w:rPr>
          <w:szCs w:val="24"/>
        </w:rPr>
        <w:t>Frognot</w:t>
      </w:r>
      <w:r w:rsidRPr="007E408A">
        <w:rPr>
          <w:szCs w:val="24"/>
        </w:rPr>
        <w:t xml:space="preserve"> filed the affidavit of </w:t>
      </w:r>
      <w:r w:rsidR="00250801" w:rsidRPr="007E408A">
        <w:rPr>
          <w:szCs w:val="24"/>
        </w:rPr>
        <w:t xml:space="preserve">Eddie </w:t>
      </w:r>
      <w:r w:rsidR="00331FD8" w:rsidRPr="007E408A">
        <w:rPr>
          <w:szCs w:val="24"/>
        </w:rPr>
        <w:t xml:space="preserve">W. </w:t>
      </w:r>
      <w:r w:rsidR="00250801" w:rsidRPr="007E408A">
        <w:rPr>
          <w:szCs w:val="24"/>
        </w:rPr>
        <w:t>Daniel, P.E.</w:t>
      </w:r>
      <w:r w:rsidR="00CE3219" w:rsidRPr="007E408A">
        <w:rPr>
          <w:szCs w:val="24"/>
        </w:rPr>
        <w:t>,</w:t>
      </w:r>
      <w:r w:rsidR="00250801" w:rsidRPr="007E408A">
        <w:rPr>
          <w:szCs w:val="24"/>
        </w:rPr>
        <w:t xml:space="preserve"> Engineer and Consultant, DBI Engineers</w:t>
      </w:r>
      <w:r w:rsidRPr="007E408A">
        <w:rPr>
          <w:szCs w:val="24"/>
        </w:rPr>
        <w:t xml:space="preserve">, attesting that notice was mailed to </w:t>
      </w:r>
      <w:r w:rsidR="004E0512" w:rsidRPr="007E408A">
        <w:rPr>
          <w:szCs w:val="24"/>
        </w:rPr>
        <w:t xml:space="preserve">the listed </w:t>
      </w:r>
      <w:r w:rsidR="00250801" w:rsidRPr="007E408A">
        <w:rPr>
          <w:szCs w:val="24"/>
        </w:rPr>
        <w:t>neighboring systems, landowners, cities, and affected parties on September 13</w:t>
      </w:r>
      <w:r w:rsidR="00AE2C76" w:rsidRPr="007E408A">
        <w:rPr>
          <w:szCs w:val="24"/>
        </w:rPr>
        <w:t>, 2017</w:t>
      </w:r>
      <w:r w:rsidR="004E0512" w:rsidRPr="007E408A">
        <w:rPr>
          <w:szCs w:val="24"/>
        </w:rPr>
        <w:t xml:space="preserve"> and attaching an exemplar of the notice and maps</w:t>
      </w:r>
      <w:r w:rsidR="00AE2C76" w:rsidRPr="007E408A">
        <w:rPr>
          <w:szCs w:val="24"/>
        </w:rPr>
        <w:t>.</w:t>
      </w:r>
    </w:p>
    <w:p w:rsidR="006C6736" w:rsidRPr="007E408A" w:rsidRDefault="006C6736" w:rsidP="006C6736">
      <w:pPr>
        <w:pStyle w:val="FOFNumbered"/>
        <w:rPr>
          <w:szCs w:val="24"/>
        </w:rPr>
      </w:pPr>
      <w:r w:rsidRPr="007E408A">
        <w:rPr>
          <w:szCs w:val="24"/>
        </w:rPr>
        <w:t xml:space="preserve">In Order No. </w:t>
      </w:r>
      <w:r w:rsidR="00250801" w:rsidRPr="007E408A">
        <w:rPr>
          <w:szCs w:val="24"/>
        </w:rPr>
        <w:t>5 issued on October 18</w:t>
      </w:r>
      <w:r w:rsidRPr="007E408A">
        <w:rPr>
          <w:szCs w:val="24"/>
        </w:rPr>
        <w:t xml:space="preserve">, 2017, the ALJ </w:t>
      </w:r>
      <w:r w:rsidR="00545690" w:rsidRPr="007E408A">
        <w:rPr>
          <w:szCs w:val="24"/>
        </w:rPr>
        <w:t xml:space="preserve">established that notice was </w:t>
      </w:r>
      <w:r w:rsidR="002124EA" w:rsidRPr="007E408A">
        <w:rPr>
          <w:szCs w:val="24"/>
        </w:rPr>
        <w:t>completed on September 13, 2017;</w:t>
      </w:r>
      <w:r w:rsidR="00545690" w:rsidRPr="007E408A">
        <w:rPr>
          <w:szCs w:val="24"/>
        </w:rPr>
        <w:t xml:space="preserve"> the deadline for in</w:t>
      </w:r>
      <w:r w:rsidR="002124EA" w:rsidRPr="007E408A">
        <w:rPr>
          <w:szCs w:val="24"/>
        </w:rPr>
        <w:t>tervention was October 13, 2017;</w:t>
      </w:r>
      <w:r w:rsidR="00545690" w:rsidRPr="007E408A">
        <w:rPr>
          <w:szCs w:val="24"/>
        </w:rPr>
        <w:t xml:space="preserve"> the 120-day deadline for Commission Staff to approve the application </w:t>
      </w:r>
      <w:r w:rsidR="0033393B" w:rsidRPr="007E408A">
        <w:rPr>
          <w:szCs w:val="24"/>
        </w:rPr>
        <w:t xml:space="preserve">administratively </w:t>
      </w:r>
      <w:r w:rsidR="00545690" w:rsidRPr="007E408A">
        <w:rPr>
          <w:szCs w:val="24"/>
        </w:rPr>
        <w:t>or require</w:t>
      </w:r>
      <w:r w:rsidR="002124EA" w:rsidRPr="007E408A">
        <w:rPr>
          <w:szCs w:val="24"/>
        </w:rPr>
        <w:t xml:space="preserve"> a hearing was January 11, 2018; </w:t>
      </w:r>
      <w:r w:rsidR="00545690" w:rsidRPr="007E408A">
        <w:rPr>
          <w:szCs w:val="24"/>
        </w:rPr>
        <w:t>f</w:t>
      </w:r>
      <w:r w:rsidRPr="007E408A">
        <w:rPr>
          <w:szCs w:val="24"/>
        </w:rPr>
        <w:t>ound that notice of the applica</w:t>
      </w:r>
      <w:r w:rsidR="002124EA" w:rsidRPr="007E408A">
        <w:rPr>
          <w:szCs w:val="24"/>
        </w:rPr>
        <w:t>tion was sufficient; and noted that two requests for hearing were late filed.</w:t>
      </w:r>
    </w:p>
    <w:p w:rsidR="002124EA" w:rsidRPr="007E408A" w:rsidRDefault="002124EA" w:rsidP="006C6736">
      <w:pPr>
        <w:pStyle w:val="FOFNumbered"/>
        <w:rPr>
          <w:szCs w:val="24"/>
        </w:rPr>
      </w:pPr>
      <w:r w:rsidRPr="007E408A">
        <w:rPr>
          <w:szCs w:val="24"/>
        </w:rPr>
        <w:t>In Order No. 6 issued on December 1, 2017 the ALJ requested Commission Staff file comments addressing the late filed request</w:t>
      </w:r>
      <w:r w:rsidR="00CE3219" w:rsidRPr="007E408A">
        <w:rPr>
          <w:szCs w:val="24"/>
        </w:rPr>
        <w:t>s</w:t>
      </w:r>
      <w:r w:rsidRPr="007E408A">
        <w:rPr>
          <w:szCs w:val="24"/>
        </w:rPr>
        <w:t xml:space="preserve"> for hearing and how they should be handled. </w:t>
      </w:r>
    </w:p>
    <w:p w:rsidR="002124EA" w:rsidRPr="007E408A" w:rsidRDefault="002124EA" w:rsidP="006C6736">
      <w:pPr>
        <w:pStyle w:val="FOFNumbered"/>
        <w:rPr>
          <w:szCs w:val="24"/>
        </w:rPr>
      </w:pPr>
      <w:r w:rsidRPr="007E408A">
        <w:rPr>
          <w:szCs w:val="24"/>
        </w:rPr>
        <w:t>On December 13, 2017, Commission Staff filed its comments on the requests for hearing stating that the late filed request for hearing were untimely interventions</w:t>
      </w:r>
      <w:r w:rsidR="00B66AED" w:rsidRPr="007E408A">
        <w:rPr>
          <w:szCs w:val="24"/>
        </w:rPr>
        <w:t xml:space="preserve">, no good cause was shown for their lateness, and its earlier recommendation that no hearing is necessary remained valid.  </w:t>
      </w:r>
    </w:p>
    <w:p w:rsidR="00997E22" w:rsidRPr="007E408A" w:rsidRDefault="00997E22" w:rsidP="00997E22">
      <w:pPr>
        <w:pStyle w:val="Heading7"/>
        <w:rPr>
          <w:rFonts w:cs="Times New Roman"/>
        </w:rPr>
      </w:pPr>
      <w:r w:rsidRPr="007E408A">
        <w:rPr>
          <w:rFonts w:cs="Times New Roman"/>
        </w:rPr>
        <w:t>Evidentiary Record</w:t>
      </w:r>
    </w:p>
    <w:p w:rsidR="00997E22" w:rsidRPr="007E408A" w:rsidRDefault="00997E22" w:rsidP="00997E22">
      <w:pPr>
        <w:pStyle w:val="FOFNumbered"/>
        <w:rPr>
          <w:szCs w:val="24"/>
        </w:rPr>
      </w:pPr>
      <w:r w:rsidRPr="007E408A">
        <w:rPr>
          <w:szCs w:val="24"/>
        </w:rPr>
        <w:t>On September 7, 2018, the parties filed a joint motion to admit evidence into the record.</w:t>
      </w:r>
    </w:p>
    <w:p w:rsidR="00997E22" w:rsidRPr="007E408A" w:rsidRDefault="00997E22" w:rsidP="00997E22">
      <w:pPr>
        <w:pStyle w:val="FOFNumbered"/>
        <w:rPr>
          <w:rFonts w:eastAsiaTheme="minorHAnsi"/>
          <w:strike/>
          <w:szCs w:val="24"/>
        </w:rPr>
      </w:pPr>
      <w:r w:rsidRPr="007E408A">
        <w:rPr>
          <w:szCs w:val="24"/>
        </w:rPr>
        <w:t>In Order No. 10 issued on January 3, 2019, the ALJ admitted the following evidence into the record:</w:t>
      </w:r>
      <w:r w:rsidR="007E408A" w:rsidRPr="007E408A">
        <w:rPr>
          <w:szCs w:val="24"/>
        </w:rPr>
        <w:t xml:space="preserve"> </w:t>
      </w:r>
      <w:r w:rsidRPr="007E408A">
        <w:rPr>
          <w:szCs w:val="24"/>
        </w:rPr>
        <w:t xml:space="preserve">(a) </w:t>
      </w:r>
      <w:proofErr w:type="spellStart"/>
      <w:r w:rsidRPr="007E408A">
        <w:rPr>
          <w:szCs w:val="24"/>
        </w:rPr>
        <w:t>Frognot</w:t>
      </w:r>
      <w:proofErr w:type="spellEnd"/>
      <w:r w:rsidRPr="007E408A">
        <w:rPr>
          <w:szCs w:val="24"/>
        </w:rPr>
        <w:t xml:space="preserve"> and North Farmersville's application filed on June 1, 2017</w:t>
      </w:r>
      <w:r w:rsidR="007E408A" w:rsidRPr="007E408A">
        <w:rPr>
          <w:rStyle w:val="FootnoteReference"/>
          <w:szCs w:val="24"/>
        </w:rPr>
        <w:footnoteReference w:id="1"/>
      </w:r>
      <w:r w:rsidR="007E408A" w:rsidRPr="007E408A">
        <w:rPr>
          <w:szCs w:val="24"/>
        </w:rPr>
        <w:t>; (b) </w:t>
      </w:r>
      <w:proofErr w:type="spellStart"/>
      <w:r w:rsidRPr="007E408A">
        <w:rPr>
          <w:szCs w:val="24"/>
        </w:rPr>
        <w:t>Frognot’s</w:t>
      </w:r>
      <w:proofErr w:type="spellEnd"/>
      <w:r w:rsidRPr="007E408A">
        <w:rPr>
          <w:szCs w:val="24"/>
        </w:rPr>
        <w:t xml:space="preserve"> supplement to the application</w:t>
      </w:r>
      <w:r w:rsidR="007E408A" w:rsidRPr="007E408A">
        <w:rPr>
          <w:szCs w:val="24"/>
        </w:rPr>
        <w:t>,</w:t>
      </w:r>
      <w:r w:rsidRPr="007E408A">
        <w:rPr>
          <w:szCs w:val="24"/>
        </w:rPr>
        <w:t xml:space="preserve"> filed on July 19, 2017; the affidavit of notice</w:t>
      </w:r>
      <w:r w:rsidR="007E408A" w:rsidRPr="007E408A">
        <w:rPr>
          <w:szCs w:val="24"/>
        </w:rPr>
        <w:t>,</w:t>
      </w:r>
      <w:r w:rsidRPr="007E408A">
        <w:rPr>
          <w:szCs w:val="24"/>
        </w:rPr>
        <w:t xml:space="preserve"> </w:t>
      </w:r>
      <w:r w:rsidRPr="007E408A">
        <w:rPr>
          <w:szCs w:val="24"/>
        </w:rPr>
        <w:lastRenderedPageBreak/>
        <w:t xml:space="preserve">filed on September 18, 2017; the bill of sale filed on June 14, 2018; consent forms filed by </w:t>
      </w:r>
      <w:proofErr w:type="spellStart"/>
      <w:r w:rsidRPr="007E408A">
        <w:rPr>
          <w:szCs w:val="24"/>
        </w:rPr>
        <w:t>Frognot</w:t>
      </w:r>
      <w:proofErr w:type="spellEnd"/>
      <w:r w:rsidRPr="007E408A">
        <w:rPr>
          <w:szCs w:val="24"/>
        </w:rPr>
        <w:t>, North Farmersville, Caddo Basin, and West Leonard concurring with the final maps and certificate filed on August 13, 2018; Commission Staff's recommendation that notice be found sufficient filed on October 17, 2017; Commission Staff's recommendation that the applicants be allowed to proceed with the sale filed on November 17, 2017; and Commission Staff's recommendation that the closing documentation be found sufficient filed on June 29, 2018.</w:t>
      </w:r>
    </w:p>
    <w:p w:rsidR="006C6736" w:rsidRPr="007E408A" w:rsidRDefault="006C6736" w:rsidP="006C6736">
      <w:pPr>
        <w:pStyle w:val="Heading7"/>
        <w:rPr>
          <w:rFonts w:cs="Times New Roman"/>
        </w:rPr>
      </w:pPr>
      <w:r w:rsidRPr="007E408A">
        <w:rPr>
          <w:rFonts w:cs="Times New Roman"/>
        </w:rPr>
        <w:t>Sale</w:t>
      </w:r>
    </w:p>
    <w:p w:rsidR="002124EA" w:rsidRPr="007E408A" w:rsidRDefault="002124EA" w:rsidP="006C6736">
      <w:pPr>
        <w:pStyle w:val="FOFNumbered"/>
        <w:rPr>
          <w:szCs w:val="24"/>
        </w:rPr>
      </w:pPr>
      <w:r w:rsidRPr="007E408A">
        <w:rPr>
          <w:szCs w:val="24"/>
        </w:rPr>
        <w:t>On November 17, 2018</w:t>
      </w:r>
      <w:r w:rsidR="00997E22" w:rsidRPr="007E408A">
        <w:rPr>
          <w:szCs w:val="24"/>
        </w:rPr>
        <w:t>,</w:t>
      </w:r>
      <w:r w:rsidRPr="007E408A">
        <w:rPr>
          <w:szCs w:val="24"/>
        </w:rPr>
        <w:t xml:space="preserve"> Commission Staff recommended that the applicants proceed with the sale and f</w:t>
      </w:r>
      <w:r w:rsidR="00997E22" w:rsidRPr="007E408A">
        <w:rPr>
          <w:szCs w:val="24"/>
        </w:rPr>
        <w:t>ile closing documents and that n</w:t>
      </w:r>
      <w:r w:rsidRPr="007E408A">
        <w:rPr>
          <w:szCs w:val="24"/>
        </w:rPr>
        <w:t>o hearing is necessary.</w:t>
      </w:r>
    </w:p>
    <w:p w:rsidR="006C6736" w:rsidRPr="007E408A" w:rsidRDefault="006C6736" w:rsidP="006C6736">
      <w:pPr>
        <w:pStyle w:val="FOFNumbered"/>
        <w:rPr>
          <w:szCs w:val="24"/>
        </w:rPr>
      </w:pPr>
      <w:r w:rsidRPr="007E408A">
        <w:rPr>
          <w:szCs w:val="24"/>
        </w:rPr>
        <w:t xml:space="preserve">In Order No. </w:t>
      </w:r>
      <w:r w:rsidR="00941D60" w:rsidRPr="007E408A">
        <w:rPr>
          <w:szCs w:val="24"/>
        </w:rPr>
        <w:t>7</w:t>
      </w:r>
      <w:r w:rsidRPr="007E408A">
        <w:rPr>
          <w:szCs w:val="24"/>
        </w:rPr>
        <w:t xml:space="preserve"> is</w:t>
      </w:r>
      <w:r w:rsidR="00941D60" w:rsidRPr="007E408A">
        <w:rPr>
          <w:szCs w:val="24"/>
        </w:rPr>
        <w:t>sued December 15</w:t>
      </w:r>
      <w:r w:rsidRPr="007E408A">
        <w:rPr>
          <w:szCs w:val="24"/>
        </w:rPr>
        <w:t>, 2017, the ALJ authorize</w:t>
      </w:r>
      <w:r w:rsidR="00930F3E" w:rsidRPr="007E408A">
        <w:rPr>
          <w:szCs w:val="24"/>
        </w:rPr>
        <w:t xml:space="preserve">d the sale to proceed and ordered </w:t>
      </w:r>
      <w:r w:rsidRPr="007E408A">
        <w:rPr>
          <w:szCs w:val="24"/>
        </w:rPr>
        <w:t xml:space="preserve">the applicants to file proof </w:t>
      </w:r>
      <w:r w:rsidR="00930F3E" w:rsidRPr="007E408A">
        <w:rPr>
          <w:szCs w:val="24"/>
        </w:rPr>
        <w:t xml:space="preserve">within 30 days of the effective date of the transaction </w:t>
      </w:r>
      <w:r w:rsidRPr="007E408A">
        <w:rPr>
          <w:szCs w:val="24"/>
        </w:rPr>
        <w:t>that the sale had been completed and that customer deposits had been addressed.</w:t>
      </w:r>
    </w:p>
    <w:p w:rsidR="0006505C" w:rsidRPr="007E408A" w:rsidRDefault="0006505C" w:rsidP="006C6736">
      <w:pPr>
        <w:pStyle w:val="FOFNumbered"/>
        <w:rPr>
          <w:szCs w:val="24"/>
        </w:rPr>
      </w:pPr>
      <w:r w:rsidRPr="007E408A">
        <w:rPr>
          <w:szCs w:val="24"/>
        </w:rPr>
        <w:t>On June 14</w:t>
      </w:r>
      <w:r w:rsidR="006C6736" w:rsidRPr="007E408A">
        <w:rPr>
          <w:szCs w:val="24"/>
        </w:rPr>
        <w:t xml:space="preserve">, 2018, </w:t>
      </w:r>
      <w:r w:rsidRPr="007E408A">
        <w:rPr>
          <w:szCs w:val="24"/>
        </w:rPr>
        <w:t>Frognot filed North Farmersville’s executed bill of sale</w:t>
      </w:r>
      <w:r w:rsidR="0086289C" w:rsidRPr="007E408A">
        <w:rPr>
          <w:szCs w:val="24"/>
        </w:rPr>
        <w:t xml:space="preserve"> </w:t>
      </w:r>
      <w:r w:rsidR="0038692D" w:rsidRPr="007E408A">
        <w:rPr>
          <w:szCs w:val="24"/>
        </w:rPr>
        <w:t xml:space="preserve">with </w:t>
      </w:r>
      <w:r w:rsidR="007E408A" w:rsidRPr="007E408A">
        <w:rPr>
          <w:szCs w:val="24"/>
        </w:rPr>
        <w:t xml:space="preserve">the </w:t>
      </w:r>
      <w:r w:rsidR="0038692D" w:rsidRPr="007E408A">
        <w:rPr>
          <w:szCs w:val="24"/>
        </w:rPr>
        <w:t>affidavit of Glenn McClain</w:t>
      </w:r>
      <w:r w:rsidR="007E408A" w:rsidRPr="007E408A">
        <w:rPr>
          <w:szCs w:val="24"/>
        </w:rPr>
        <w:t>,</w:t>
      </w:r>
      <w:r w:rsidR="0038692D" w:rsidRPr="007E408A">
        <w:rPr>
          <w:szCs w:val="24"/>
        </w:rPr>
        <w:t xml:space="preserve"> </w:t>
      </w:r>
      <w:r w:rsidR="0086289C" w:rsidRPr="007E408A">
        <w:rPr>
          <w:szCs w:val="24"/>
        </w:rPr>
        <w:t xml:space="preserve">reflecting that all of the affected customers, their records, and customer deposits </w:t>
      </w:r>
      <w:r w:rsidR="0038692D" w:rsidRPr="007E408A">
        <w:rPr>
          <w:szCs w:val="24"/>
        </w:rPr>
        <w:t>were transferred</w:t>
      </w:r>
      <w:r w:rsidRPr="007E408A">
        <w:rPr>
          <w:szCs w:val="24"/>
        </w:rPr>
        <w:t>.</w:t>
      </w:r>
    </w:p>
    <w:p w:rsidR="00030110" w:rsidRPr="007E408A" w:rsidRDefault="00D00F4C" w:rsidP="006C6736">
      <w:pPr>
        <w:pStyle w:val="FOFNumbered"/>
        <w:rPr>
          <w:szCs w:val="24"/>
        </w:rPr>
      </w:pPr>
      <w:r w:rsidRPr="007E408A">
        <w:rPr>
          <w:szCs w:val="24"/>
        </w:rPr>
        <w:t>In Order No. 8 issued July 6</w:t>
      </w:r>
      <w:r w:rsidR="00030110" w:rsidRPr="007E408A">
        <w:rPr>
          <w:szCs w:val="24"/>
        </w:rPr>
        <w:t xml:space="preserve">, 2018, the ALJ found the closing documents were sufficient </w:t>
      </w:r>
      <w:r w:rsidR="0038692D" w:rsidRPr="007E408A">
        <w:rPr>
          <w:szCs w:val="24"/>
        </w:rPr>
        <w:t>as filed</w:t>
      </w:r>
      <w:r w:rsidR="00030110" w:rsidRPr="007E408A">
        <w:rPr>
          <w:szCs w:val="24"/>
        </w:rPr>
        <w:t>.</w:t>
      </w:r>
    </w:p>
    <w:p w:rsidR="00717807" w:rsidRPr="007E408A" w:rsidRDefault="00717807" w:rsidP="00AD6FBE">
      <w:pPr>
        <w:pStyle w:val="Heading7"/>
        <w:rPr>
          <w:rFonts w:cs="Times New Roman"/>
        </w:rPr>
      </w:pPr>
      <w:r w:rsidRPr="007E408A">
        <w:rPr>
          <w:rFonts w:cs="Times New Roman"/>
        </w:rPr>
        <w:t>Compliance</w:t>
      </w:r>
      <w:r w:rsidR="00340D61" w:rsidRPr="007E408A">
        <w:rPr>
          <w:rFonts w:cs="Times New Roman"/>
        </w:rPr>
        <w:t xml:space="preserve"> </w:t>
      </w:r>
      <w:r w:rsidRPr="007E408A">
        <w:rPr>
          <w:rFonts w:cs="Times New Roman"/>
        </w:rPr>
        <w:t>–</w:t>
      </w:r>
      <w:r w:rsidR="00340D61" w:rsidRPr="007E408A">
        <w:rPr>
          <w:rFonts w:cs="Times New Roman"/>
        </w:rPr>
        <w:t xml:space="preserve"> </w:t>
      </w:r>
      <w:r w:rsidRPr="007E408A">
        <w:rPr>
          <w:rFonts w:cs="Times New Roman"/>
        </w:rPr>
        <w:t>TWC § 13.301(d), 16 TAC § 24.239(j</w:t>
      </w:r>
      <w:proofErr w:type="gramStart"/>
      <w:r w:rsidRPr="007E408A">
        <w:rPr>
          <w:rFonts w:cs="Times New Roman"/>
        </w:rPr>
        <w:t>)(</w:t>
      </w:r>
      <w:proofErr w:type="gramEnd"/>
      <w:r w:rsidRPr="007E408A">
        <w:rPr>
          <w:rFonts w:cs="Times New Roman"/>
        </w:rPr>
        <w:t>5)(</w:t>
      </w:r>
      <w:r w:rsidR="00C73ADF" w:rsidRPr="007E408A">
        <w:rPr>
          <w:rFonts w:cs="Times New Roman"/>
        </w:rPr>
        <w:t>A</w:t>
      </w:r>
      <w:r w:rsidRPr="007E408A">
        <w:rPr>
          <w:rFonts w:cs="Times New Roman"/>
        </w:rPr>
        <w:t>)</w:t>
      </w:r>
    </w:p>
    <w:p w:rsidR="00BB3E3B" w:rsidRPr="007E408A" w:rsidRDefault="008F15CC" w:rsidP="00717807">
      <w:pPr>
        <w:pStyle w:val="FOFNumbered"/>
        <w:rPr>
          <w:szCs w:val="24"/>
        </w:rPr>
      </w:pPr>
      <w:r w:rsidRPr="007E408A">
        <w:rPr>
          <w:szCs w:val="24"/>
        </w:rPr>
        <w:t xml:space="preserve">Frognot and North Farmersville have approved public water </w:t>
      </w:r>
      <w:r w:rsidR="000F401D" w:rsidRPr="007E408A">
        <w:rPr>
          <w:szCs w:val="24"/>
        </w:rPr>
        <w:t>systems, which</w:t>
      </w:r>
      <w:r w:rsidRPr="007E408A">
        <w:rPr>
          <w:szCs w:val="24"/>
        </w:rPr>
        <w:t xml:space="preserve"> are currently in compliance with Texas Commission on Environmental Quality (TCEQ) requirements. </w:t>
      </w:r>
    </w:p>
    <w:p w:rsidR="00AD6FBE" w:rsidRPr="007E408A" w:rsidRDefault="00D30B98" w:rsidP="00AD6FBE">
      <w:pPr>
        <w:pStyle w:val="Heading7"/>
        <w:rPr>
          <w:rFonts w:cs="Times New Roman"/>
        </w:rPr>
      </w:pPr>
      <w:r w:rsidRPr="007E408A">
        <w:rPr>
          <w:rFonts w:cs="Times New Roman"/>
        </w:rPr>
        <w:t>Adequacy of Existing Service</w:t>
      </w:r>
      <w:r w:rsidR="00F2059C" w:rsidRPr="007E408A">
        <w:rPr>
          <w:rFonts w:cs="Times New Roman"/>
        </w:rPr>
        <w:t xml:space="preserve"> to the Requested Area</w:t>
      </w:r>
      <w:r w:rsidR="00340D61" w:rsidRPr="007E408A">
        <w:rPr>
          <w:rFonts w:cs="Times New Roman"/>
        </w:rPr>
        <w:t xml:space="preserve"> </w:t>
      </w:r>
      <w:r w:rsidRPr="007E408A">
        <w:rPr>
          <w:rFonts w:cs="Times New Roman"/>
        </w:rPr>
        <w:t>–</w:t>
      </w:r>
      <w:r w:rsidR="00340D61" w:rsidRPr="007E408A">
        <w:rPr>
          <w:rFonts w:cs="Times New Roman"/>
        </w:rPr>
        <w:t xml:space="preserve"> </w:t>
      </w:r>
      <w:r w:rsidR="000A549F" w:rsidRPr="007E408A">
        <w:rPr>
          <w:rFonts w:cs="Times New Roman"/>
        </w:rPr>
        <w:t>16 TAC § </w:t>
      </w:r>
      <w:r w:rsidR="00AD0A35" w:rsidRPr="007E408A">
        <w:rPr>
          <w:rFonts w:cs="Times New Roman"/>
        </w:rPr>
        <w:t>24.239(j</w:t>
      </w:r>
      <w:proofErr w:type="gramStart"/>
      <w:r w:rsidR="00AD0A35" w:rsidRPr="007E408A">
        <w:rPr>
          <w:rFonts w:cs="Times New Roman"/>
        </w:rPr>
        <w:t>)(</w:t>
      </w:r>
      <w:proofErr w:type="gramEnd"/>
      <w:r w:rsidR="00AD0A35" w:rsidRPr="007E408A">
        <w:rPr>
          <w:rFonts w:cs="Times New Roman"/>
        </w:rPr>
        <w:t>5)(B)</w:t>
      </w:r>
      <w:r w:rsidR="0098443D" w:rsidRPr="007E408A">
        <w:rPr>
          <w:rFonts w:cs="Times New Roman"/>
        </w:rPr>
        <w:t>; TWC § 13.246(c)(1), 16 TAC § 24.227(d)(1)</w:t>
      </w:r>
    </w:p>
    <w:p w:rsidR="00CF4943" w:rsidRPr="007E408A" w:rsidRDefault="00CF4943" w:rsidP="00205B82">
      <w:pPr>
        <w:pStyle w:val="FOFNumbered"/>
        <w:rPr>
          <w:szCs w:val="24"/>
        </w:rPr>
      </w:pPr>
      <w:r w:rsidRPr="007E408A">
        <w:rPr>
          <w:szCs w:val="24"/>
        </w:rPr>
        <w:t xml:space="preserve">North Farmersville’s current capacity is limited to </w:t>
      </w:r>
      <w:r w:rsidR="007E408A" w:rsidRPr="007E408A">
        <w:rPr>
          <w:szCs w:val="24"/>
        </w:rPr>
        <w:t>fewer</w:t>
      </w:r>
      <w:r w:rsidRPr="007E408A">
        <w:rPr>
          <w:szCs w:val="24"/>
        </w:rPr>
        <w:t xml:space="preserve"> than 250 connections and </w:t>
      </w:r>
      <w:r w:rsidR="007E408A" w:rsidRPr="007E408A">
        <w:rPr>
          <w:szCs w:val="24"/>
        </w:rPr>
        <w:t xml:space="preserve">North Farmersville </w:t>
      </w:r>
      <w:r w:rsidRPr="007E408A">
        <w:rPr>
          <w:szCs w:val="24"/>
        </w:rPr>
        <w:t xml:space="preserve">is concerned about proposed growth in its service area and requested Frognot take over a portion of its existing distribution system. </w:t>
      </w:r>
    </w:p>
    <w:p w:rsidR="00205B82" w:rsidRPr="007E408A" w:rsidRDefault="000F401D" w:rsidP="00205B82">
      <w:pPr>
        <w:pStyle w:val="FOFNumbered"/>
        <w:rPr>
          <w:szCs w:val="24"/>
        </w:rPr>
      </w:pPr>
      <w:r w:rsidRPr="007E408A">
        <w:rPr>
          <w:szCs w:val="24"/>
        </w:rPr>
        <w:t>Due to similar capacity issues as North Farmersville, a</w:t>
      </w:r>
      <w:r w:rsidR="00205B82" w:rsidRPr="007E408A">
        <w:rPr>
          <w:szCs w:val="24"/>
        </w:rPr>
        <w:t xml:space="preserve"> </w:t>
      </w:r>
      <w:r w:rsidRPr="007E408A">
        <w:rPr>
          <w:szCs w:val="24"/>
        </w:rPr>
        <w:t xml:space="preserve">residential development in </w:t>
      </w:r>
      <w:r w:rsidR="00205B82" w:rsidRPr="007E408A">
        <w:rPr>
          <w:szCs w:val="24"/>
        </w:rPr>
        <w:t>West Leonard</w:t>
      </w:r>
      <w:r w:rsidRPr="007E408A">
        <w:rPr>
          <w:szCs w:val="24"/>
        </w:rPr>
        <w:t>’s</w:t>
      </w:r>
      <w:r w:rsidR="00205B82" w:rsidRPr="007E408A">
        <w:rPr>
          <w:szCs w:val="24"/>
        </w:rPr>
        <w:t xml:space="preserve"> CCN </w:t>
      </w:r>
      <w:r w:rsidR="00E40311" w:rsidRPr="007E408A">
        <w:rPr>
          <w:szCs w:val="24"/>
        </w:rPr>
        <w:t xml:space="preserve">has requested service from Frognot because it </w:t>
      </w:r>
      <w:r w:rsidR="00205B82" w:rsidRPr="007E408A">
        <w:rPr>
          <w:szCs w:val="24"/>
        </w:rPr>
        <w:t>is unable to obtain adequa</w:t>
      </w:r>
      <w:r w:rsidR="00E40311" w:rsidRPr="007E408A">
        <w:rPr>
          <w:szCs w:val="24"/>
        </w:rPr>
        <w:t>te service from West Leonard</w:t>
      </w:r>
      <w:r w:rsidR="00205B82" w:rsidRPr="007E408A">
        <w:rPr>
          <w:szCs w:val="24"/>
        </w:rPr>
        <w:t>.</w:t>
      </w:r>
    </w:p>
    <w:p w:rsidR="00CF4943" w:rsidRPr="007E408A" w:rsidRDefault="00D30B98" w:rsidP="00CF4943">
      <w:pPr>
        <w:pStyle w:val="Heading7"/>
        <w:rPr>
          <w:rFonts w:cs="Times New Roman"/>
        </w:rPr>
      </w:pPr>
      <w:r w:rsidRPr="007E408A">
        <w:rPr>
          <w:rFonts w:cs="Times New Roman"/>
        </w:rPr>
        <w:lastRenderedPageBreak/>
        <w:t>Need for Additional Service</w:t>
      </w:r>
      <w:r w:rsidR="00340D61" w:rsidRPr="007E408A">
        <w:rPr>
          <w:rFonts w:cs="Times New Roman"/>
        </w:rPr>
        <w:t xml:space="preserve"> </w:t>
      </w:r>
      <w:r w:rsidRPr="007E408A">
        <w:rPr>
          <w:rFonts w:cs="Times New Roman"/>
        </w:rPr>
        <w:t>–</w:t>
      </w:r>
      <w:r w:rsidR="00340D61" w:rsidRPr="007E408A">
        <w:rPr>
          <w:rFonts w:cs="Times New Roman"/>
        </w:rPr>
        <w:t xml:space="preserve"> </w:t>
      </w:r>
      <w:r w:rsidRPr="007E408A">
        <w:rPr>
          <w:rFonts w:cs="Times New Roman"/>
        </w:rPr>
        <w:t>TWC § </w:t>
      </w:r>
      <w:r w:rsidR="00AD0A35" w:rsidRPr="007E408A">
        <w:rPr>
          <w:rFonts w:cs="Times New Roman"/>
        </w:rPr>
        <w:t>13.301(d), 16 TAC § 24.239(j</w:t>
      </w:r>
      <w:proofErr w:type="gramStart"/>
      <w:r w:rsidR="00AD0A35" w:rsidRPr="007E408A">
        <w:rPr>
          <w:rFonts w:cs="Times New Roman"/>
        </w:rPr>
        <w:t>)(</w:t>
      </w:r>
      <w:proofErr w:type="gramEnd"/>
      <w:r w:rsidR="00AD0A35" w:rsidRPr="007E408A">
        <w:rPr>
          <w:rFonts w:cs="Times New Roman"/>
        </w:rPr>
        <w:t>5)(C)</w:t>
      </w:r>
      <w:r w:rsidR="0098443D" w:rsidRPr="007E408A">
        <w:rPr>
          <w:rFonts w:cs="Times New Roman"/>
        </w:rPr>
        <w:t>; TWC § 13.246(c)(2), 16 TAC § 24.227(d)(2)</w:t>
      </w:r>
    </w:p>
    <w:p w:rsidR="00CF4943" w:rsidRPr="007E408A" w:rsidRDefault="00CF4943" w:rsidP="00CF4943">
      <w:pPr>
        <w:pStyle w:val="FOFNumbered"/>
        <w:rPr>
          <w:szCs w:val="24"/>
        </w:rPr>
      </w:pPr>
      <w:r w:rsidRPr="007E408A">
        <w:rPr>
          <w:szCs w:val="24"/>
        </w:rPr>
        <w:t xml:space="preserve">Frognot has installed a distribution line to serve these existing North Farmersville customers as requested by North Farmersville.  In doing so, the installed line crossed approximately 700 </w:t>
      </w:r>
      <w:r w:rsidR="002124EA" w:rsidRPr="007E408A">
        <w:rPr>
          <w:szCs w:val="24"/>
        </w:rPr>
        <w:t xml:space="preserve">feet </w:t>
      </w:r>
      <w:r w:rsidRPr="007E408A">
        <w:rPr>
          <w:szCs w:val="24"/>
        </w:rPr>
        <w:t>of Caddo Basin’s CCN, for which Frognot is requesting dual certification.</w:t>
      </w:r>
    </w:p>
    <w:p w:rsidR="00AD6FBE" w:rsidRPr="007E408A" w:rsidRDefault="00CF4943" w:rsidP="00AD6FBE">
      <w:pPr>
        <w:pStyle w:val="FOFNumbered"/>
        <w:rPr>
          <w:szCs w:val="24"/>
        </w:rPr>
      </w:pPr>
      <w:r w:rsidRPr="007E408A">
        <w:rPr>
          <w:szCs w:val="24"/>
        </w:rPr>
        <w:t>Frognot has installed a distribution line to serve these existing West Leonard customers</w:t>
      </w:r>
      <w:r w:rsidR="007E408A" w:rsidRPr="007E408A">
        <w:rPr>
          <w:szCs w:val="24"/>
        </w:rPr>
        <w:t>,</w:t>
      </w:r>
      <w:r w:rsidRPr="007E408A">
        <w:rPr>
          <w:szCs w:val="24"/>
        </w:rPr>
        <w:t xml:space="preserve"> as requested by West Leonard.</w:t>
      </w:r>
    </w:p>
    <w:p w:rsidR="00AD6FBE" w:rsidRPr="007E408A" w:rsidRDefault="00D30B98" w:rsidP="005A6C7E">
      <w:pPr>
        <w:pStyle w:val="Heading7"/>
        <w:rPr>
          <w:rFonts w:cs="Times New Roman"/>
        </w:rPr>
      </w:pPr>
      <w:r w:rsidRPr="007E408A">
        <w:rPr>
          <w:rFonts w:cs="Times New Roman"/>
        </w:rPr>
        <w:t xml:space="preserve">Effect of </w:t>
      </w:r>
      <w:r w:rsidR="00AD0A35" w:rsidRPr="007E408A">
        <w:rPr>
          <w:rFonts w:cs="Times New Roman"/>
        </w:rPr>
        <w:t>Approving the Transaction</w:t>
      </w:r>
      <w:r w:rsidR="002D7E91" w:rsidRPr="007E408A">
        <w:rPr>
          <w:rFonts w:cs="Times New Roman"/>
        </w:rPr>
        <w:t xml:space="preserve"> and Granting the Amendment</w:t>
      </w:r>
      <w:r w:rsidR="00340D61" w:rsidRPr="007E408A">
        <w:rPr>
          <w:rFonts w:cs="Times New Roman"/>
        </w:rPr>
        <w:t xml:space="preserve"> </w:t>
      </w:r>
      <w:r w:rsidRPr="007E408A">
        <w:rPr>
          <w:rFonts w:cs="Times New Roman"/>
        </w:rPr>
        <w:t>–</w:t>
      </w:r>
      <w:r w:rsidR="00340D61" w:rsidRPr="007E408A">
        <w:rPr>
          <w:rFonts w:cs="Times New Roman"/>
        </w:rPr>
        <w:t xml:space="preserve"> </w:t>
      </w:r>
      <w:r w:rsidRPr="007E408A">
        <w:rPr>
          <w:rFonts w:cs="Times New Roman"/>
        </w:rPr>
        <w:t>TWC § </w:t>
      </w:r>
      <w:r w:rsidR="00AD0A35" w:rsidRPr="007E408A">
        <w:rPr>
          <w:rFonts w:cs="Times New Roman"/>
        </w:rPr>
        <w:t>13.301(d), 16 TAC § 24.239(j</w:t>
      </w:r>
      <w:proofErr w:type="gramStart"/>
      <w:r w:rsidR="00AD0A35" w:rsidRPr="007E408A">
        <w:rPr>
          <w:rFonts w:cs="Times New Roman"/>
        </w:rPr>
        <w:t>)(</w:t>
      </w:r>
      <w:proofErr w:type="gramEnd"/>
      <w:r w:rsidR="00AD0A35" w:rsidRPr="007E408A">
        <w:rPr>
          <w:rFonts w:cs="Times New Roman"/>
        </w:rPr>
        <w:t>5)(D)</w:t>
      </w:r>
      <w:r w:rsidR="002D7E91" w:rsidRPr="007E408A">
        <w:rPr>
          <w:rFonts w:cs="Times New Roman"/>
        </w:rPr>
        <w:t>; TWC § 13.246(c)(3), 16 TAC § 24.227(d)(3)</w:t>
      </w:r>
    </w:p>
    <w:p w:rsidR="00DD51D2" w:rsidRPr="007E408A" w:rsidRDefault="00DD51D2" w:rsidP="00AD6FBE">
      <w:pPr>
        <w:pStyle w:val="FOFNumbered"/>
        <w:rPr>
          <w:szCs w:val="24"/>
        </w:rPr>
      </w:pPr>
      <w:r w:rsidRPr="007E408A">
        <w:rPr>
          <w:szCs w:val="24"/>
        </w:rPr>
        <w:t>Granting Frognot an</w:t>
      </w:r>
      <w:r w:rsidR="007E408A" w:rsidRPr="007E408A">
        <w:rPr>
          <w:szCs w:val="24"/>
        </w:rPr>
        <w:t xml:space="preserve"> amended certificate will allow</w:t>
      </w:r>
      <w:r w:rsidRPr="007E408A">
        <w:rPr>
          <w:szCs w:val="24"/>
        </w:rPr>
        <w:t xml:space="preserve"> </w:t>
      </w:r>
      <w:proofErr w:type="spellStart"/>
      <w:r w:rsidRPr="007E408A">
        <w:rPr>
          <w:szCs w:val="24"/>
        </w:rPr>
        <w:t>Frognot</w:t>
      </w:r>
      <w:proofErr w:type="spellEnd"/>
      <w:r w:rsidRPr="007E408A">
        <w:rPr>
          <w:szCs w:val="24"/>
        </w:rPr>
        <w:t xml:space="preserve"> to retain ownership of all of its existing facilities and revenue from all of its existing customers that reside outside of its current certificated service area.</w:t>
      </w:r>
    </w:p>
    <w:p w:rsidR="00BB3E3B" w:rsidRPr="007E408A" w:rsidRDefault="00BB3E3B" w:rsidP="00AD6FBE">
      <w:pPr>
        <w:pStyle w:val="FOFNumbered"/>
        <w:rPr>
          <w:szCs w:val="24"/>
        </w:rPr>
      </w:pPr>
      <w:r w:rsidRPr="007E408A">
        <w:rPr>
          <w:szCs w:val="24"/>
        </w:rPr>
        <w:t xml:space="preserve">There are </w:t>
      </w:r>
      <w:r w:rsidR="00CF4943" w:rsidRPr="007E408A">
        <w:rPr>
          <w:szCs w:val="24"/>
        </w:rPr>
        <w:t>six</w:t>
      </w:r>
      <w:r w:rsidRPr="007E408A">
        <w:rPr>
          <w:szCs w:val="24"/>
        </w:rPr>
        <w:t xml:space="preserve"> utilities, </w:t>
      </w:r>
      <w:r w:rsidR="002A7A40" w:rsidRPr="007E408A">
        <w:rPr>
          <w:szCs w:val="24"/>
        </w:rPr>
        <w:t>cities,</w:t>
      </w:r>
      <w:r w:rsidRPr="007E408A">
        <w:rPr>
          <w:szCs w:val="24"/>
        </w:rPr>
        <w:t xml:space="preserve"> or political subdivisions</w:t>
      </w:r>
      <w:r w:rsidR="00ED5C5C" w:rsidRPr="007E408A">
        <w:rPr>
          <w:szCs w:val="24"/>
        </w:rPr>
        <w:t xml:space="preserve">, </w:t>
      </w:r>
      <w:r w:rsidR="00CF4943" w:rsidRPr="007E408A">
        <w:rPr>
          <w:szCs w:val="24"/>
        </w:rPr>
        <w:t>other than</w:t>
      </w:r>
      <w:r w:rsidR="00ED5C5C" w:rsidRPr="007E408A">
        <w:rPr>
          <w:szCs w:val="24"/>
        </w:rPr>
        <w:t xml:space="preserve"> West Leonard and Caddo Basin</w:t>
      </w:r>
      <w:r w:rsidRPr="007E408A">
        <w:rPr>
          <w:szCs w:val="24"/>
        </w:rPr>
        <w:t xml:space="preserve"> providing water service within two miles of the areas</w:t>
      </w:r>
      <w:r w:rsidR="00ED5C5C" w:rsidRPr="007E408A">
        <w:rPr>
          <w:szCs w:val="24"/>
        </w:rPr>
        <w:t xml:space="preserve"> </w:t>
      </w:r>
      <w:r w:rsidR="007E408A" w:rsidRPr="007E408A">
        <w:rPr>
          <w:szCs w:val="24"/>
        </w:rPr>
        <w:t xml:space="preserve">for which </w:t>
      </w:r>
      <w:proofErr w:type="spellStart"/>
      <w:r w:rsidR="00ED5C5C" w:rsidRPr="007E408A">
        <w:rPr>
          <w:szCs w:val="24"/>
        </w:rPr>
        <w:t>Frognot</w:t>
      </w:r>
      <w:proofErr w:type="spellEnd"/>
      <w:r w:rsidR="00ED5C5C" w:rsidRPr="007E408A">
        <w:rPr>
          <w:szCs w:val="24"/>
        </w:rPr>
        <w:t xml:space="preserve"> requests dual certification</w:t>
      </w:r>
      <w:r w:rsidRPr="007E408A">
        <w:rPr>
          <w:szCs w:val="24"/>
        </w:rPr>
        <w:t>.</w:t>
      </w:r>
      <w:r w:rsidR="00CF4943" w:rsidRPr="007E408A">
        <w:rPr>
          <w:szCs w:val="24"/>
        </w:rPr>
        <w:t xml:space="preserve">  None of these retail public utilities will be affected.</w:t>
      </w:r>
    </w:p>
    <w:p w:rsidR="00AD6FBE" w:rsidRPr="007E408A" w:rsidRDefault="007A14A2" w:rsidP="00AD6FBE">
      <w:pPr>
        <w:pStyle w:val="FOFNumbered"/>
        <w:rPr>
          <w:szCs w:val="24"/>
        </w:rPr>
      </w:pPr>
      <w:r w:rsidRPr="007E408A">
        <w:rPr>
          <w:szCs w:val="24"/>
        </w:rPr>
        <w:t>The North Farmersville c</w:t>
      </w:r>
      <w:r w:rsidR="0019366E" w:rsidRPr="007E408A">
        <w:rPr>
          <w:szCs w:val="24"/>
        </w:rPr>
        <w:t xml:space="preserve">ustomers </w:t>
      </w:r>
      <w:r w:rsidRPr="007E408A">
        <w:rPr>
          <w:szCs w:val="24"/>
        </w:rPr>
        <w:t xml:space="preserve">being transferred to Frognot </w:t>
      </w:r>
      <w:r w:rsidR="0019366E" w:rsidRPr="007E408A">
        <w:rPr>
          <w:szCs w:val="24"/>
        </w:rPr>
        <w:t xml:space="preserve">will </w:t>
      </w:r>
      <w:r w:rsidRPr="007E408A">
        <w:rPr>
          <w:szCs w:val="24"/>
        </w:rPr>
        <w:t>have a different rate structure</w:t>
      </w:r>
      <w:r w:rsidR="0019366E" w:rsidRPr="007E408A">
        <w:rPr>
          <w:szCs w:val="24"/>
        </w:rPr>
        <w:t xml:space="preserve"> </w:t>
      </w:r>
      <w:r w:rsidRPr="007E408A">
        <w:rPr>
          <w:szCs w:val="24"/>
        </w:rPr>
        <w:t xml:space="preserve">than </w:t>
      </w:r>
      <w:r w:rsidR="0019366E" w:rsidRPr="007E408A">
        <w:rPr>
          <w:szCs w:val="24"/>
        </w:rPr>
        <w:t xml:space="preserve">before the transaction.  </w:t>
      </w:r>
    </w:p>
    <w:p w:rsidR="00D30B98" w:rsidRPr="007E408A" w:rsidRDefault="00D30B98" w:rsidP="00D30B98">
      <w:pPr>
        <w:pStyle w:val="Heading7"/>
        <w:rPr>
          <w:rFonts w:cs="Times New Roman"/>
        </w:rPr>
      </w:pPr>
      <w:r w:rsidRPr="007E408A">
        <w:rPr>
          <w:rFonts w:cs="Times New Roman"/>
        </w:rPr>
        <w:t>Ability to Serve: Managerial and Technical</w:t>
      </w:r>
      <w:r w:rsidR="001724BB" w:rsidRPr="007E408A">
        <w:rPr>
          <w:rFonts w:cs="Times New Roman"/>
        </w:rPr>
        <w:t xml:space="preserve"> </w:t>
      </w:r>
      <w:r w:rsidRPr="007E408A">
        <w:rPr>
          <w:rFonts w:cs="Times New Roman"/>
        </w:rPr>
        <w:t>–</w:t>
      </w:r>
      <w:r w:rsidR="001724BB" w:rsidRPr="007E408A">
        <w:rPr>
          <w:rFonts w:cs="Times New Roman"/>
        </w:rPr>
        <w:t xml:space="preserve"> </w:t>
      </w:r>
      <w:r w:rsidRPr="007E408A">
        <w:rPr>
          <w:rFonts w:cs="Times New Roman"/>
        </w:rPr>
        <w:t>TWC § 13.</w:t>
      </w:r>
      <w:r w:rsidR="00AD0A35" w:rsidRPr="007E408A">
        <w:rPr>
          <w:rFonts w:cs="Times New Roman"/>
        </w:rPr>
        <w:t>301(b</w:t>
      </w:r>
      <w:r w:rsidRPr="007E408A">
        <w:rPr>
          <w:rFonts w:cs="Times New Roman"/>
        </w:rPr>
        <w:t xml:space="preserve">), </w:t>
      </w:r>
      <w:r w:rsidR="00AD0A35" w:rsidRPr="007E408A">
        <w:rPr>
          <w:rFonts w:cs="Times New Roman"/>
        </w:rPr>
        <w:t>16 TAC § 24.239(g), (j</w:t>
      </w:r>
      <w:proofErr w:type="gramStart"/>
      <w:r w:rsidR="00AD0A35" w:rsidRPr="007E408A">
        <w:rPr>
          <w:rFonts w:cs="Times New Roman"/>
        </w:rPr>
        <w:t>)(</w:t>
      </w:r>
      <w:proofErr w:type="gramEnd"/>
      <w:r w:rsidR="00AD0A35" w:rsidRPr="007E408A">
        <w:rPr>
          <w:rFonts w:cs="Times New Roman"/>
        </w:rPr>
        <w:t>5)(E)</w:t>
      </w:r>
      <w:r w:rsidR="002D7E91" w:rsidRPr="007E408A">
        <w:rPr>
          <w:rFonts w:cs="Times New Roman"/>
        </w:rPr>
        <w:t>; TWC §§  13.241(a),</w:t>
      </w:r>
      <w:r w:rsidR="001724BB" w:rsidRPr="007E408A">
        <w:rPr>
          <w:rFonts w:eastAsiaTheme="minorHAnsi" w:cs="Times New Roman"/>
          <w:b w:val="0"/>
          <w:i w:val="0"/>
          <w:iCs w:val="0"/>
          <w:u w:val="none"/>
        </w:rPr>
        <w:t xml:space="preserve"> </w:t>
      </w:r>
      <w:r w:rsidR="001724BB" w:rsidRPr="007E408A">
        <w:rPr>
          <w:rFonts w:cs="Times New Roman"/>
        </w:rPr>
        <w:t>13.246(c)(4),</w:t>
      </w:r>
      <w:r w:rsidR="002D7E91" w:rsidRPr="007E408A">
        <w:rPr>
          <w:rFonts w:cs="Times New Roman"/>
        </w:rPr>
        <w:t xml:space="preserve"> 16 TAC §§ 24.227(a), 24.227(d)(4)</w:t>
      </w:r>
      <w:r w:rsidR="00212A84" w:rsidRPr="007E408A">
        <w:rPr>
          <w:rFonts w:cs="Times New Roman"/>
        </w:rPr>
        <w:t>; TWC § 13.251</w:t>
      </w:r>
    </w:p>
    <w:p w:rsidR="00F2059C" w:rsidRPr="007E408A" w:rsidRDefault="00F2059C" w:rsidP="00F2059C">
      <w:pPr>
        <w:pStyle w:val="FOFNumbered"/>
        <w:rPr>
          <w:szCs w:val="24"/>
        </w:rPr>
      </w:pPr>
      <w:r w:rsidRPr="007E408A">
        <w:rPr>
          <w:szCs w:val="24"/>
        </w:rPr>
        <w:t>Frognot has adequate production and storage, as well as a distribution system already in place to provide service in the requested area.</w:t>
      </w:r>
    </w:p>
    <w:p w:rsidR="00F2059C" w:rsidRPr="007E408A" w:rsidRDefault="00F2059C" w:rsidP="00F2059C">
      <w:pPr>
        <w:pStyle w:val="FOFNumbered"/>
        <w:rPr>
          <w:szCs w:val="24"/>
        </w:rPr>
      </w:pPr>
      <w:r w:rsidRPr="007E408A">
        <w:rPr>
          <w:szCs w:val="24"/>
        </w:rPr>
        <w:t>No component facility of Frognot’s system operates at 85% or greater of minimum standard capacity.</w:t>
      </w:r>
    </w:p>
    <w:p w:rsidR="00D33B49" w:rsidRPr="007E408A" w:rsidRDefault="00D33B49" w:rsidP="00D33B49">
      <w:pPr>
        <w:pStyle w:val="FOFNumbered"/>
        <w:rPr>
          <w:szCs w:val="24"/>
        </w:rPr>
      </w:pPr>
      <w:r w:rsidRPr="007E408A">
        <w:rPr>
          <w:szCs w:val="24"/>
        </w:rPr>
        <w:t>Frognot’s plant capacity is currently at 45% of production, 32% of storage, 39% of pressure tank</w:t>
      </w:r>
      <w:r w:rsidR="007F5410" w:rsidRPr="007E408A">
        <w:rPr>
          <w:szCs w:val="24"/>
        </w:rPr>
        <w:t>,</w:t>
      </w:r>
      <w:r w:rsidRPr="007E408A">
        <w:rPr>
          <w:szCs w:val="24"/>
        </w:rPr>
        <w:t xml:space="preserve"> and 62% of service pump</w:t>
      </w:r>
      <w:r w:rsidR="007E408A" w:rsidRPr="007E408A">
        <w:rPr>
          <w:szCs w:val="24"/>
        </w:rPr>
        <w:t>,</w:t>
      </w:r>
      <w:r w:rsidRPr="007E408A">
        <w:rPr>
          <w:szCs w:val="24"/>
        </w:rPr>
        <w:t xml:space="preserve"> in accordance with TCEQ requirements.  Frognot is able to address the growth in the area that North Farmersville and West Leonard cannot.  The addition of the 63 customers from North Farmersville does not significantly impact the capacity reserves.</w:t>
      </w:r>
    </w:p>
    <w:p w:rsidR="00AD6FBE" w:rsidRPr="007E408A" w:rsidRDefault="00D30B98" w:rsidP="00AD6FBE">
      <w:pPr>
        <w:pStyle w:val="Heading7"/>
        <w:rPr>
          <w:rFonts w:cs="Times New Roman"/>
        </w:rPr>
      </w:pPr>
      <w:r w:rsidRPr="007E408A">
        <w:rPr>
          <w:rFonts w:cs="Times New Roman"/>
        </w:rPr>
        <w:lastRenderedPageBreak/>
        <w:t>Ability to Serve: Financial Ability and Stability</w:t>
      </w:r>
      <w:r w:rsidR="001724BB" w:rsidRPr="007E408A">
        <w:rPr>
          <w:rFonts w:cs="Times New Roman"/>
        </w:rPr>
        <w:t xml:space="preserve"> </w:t>
      </w:r>
      <w:r w:rsidRPr="007E408A">
        <w:rPr>
          <w:rFonts w:cs="Times New Roman"/>
        </w:rPr>
        <w:t>–</w:t>
      </w:r>
      <w:r w:rsidR="001724BB" w:rsidRPr="007E408A">
        <w:rPr>
          <w:rFonts w:cs="Times New Roman"/>
        </w:rPr>
        <w:t xml:space="preserve"> </w:t>
      </w:r>
      <w:r w:rsidRPr="007E408A">
        <w:rPr>
          <w:rFonts w:cs="Times New Roman"/>
        </w:rPr>
        <w:t>TWC §§ 13.</w:t>
      </w:r>
      <w:r w:rsidR="00AD0A35" w:rsidRPr="007E408A">
        <w:rPr>
          <w:rFonts w:cs="Times New Roman"/>
        </w:rPr>
        <w:t>301(b</w:t>
      </w:r>
      <w:r w:rsidRPr="007E408A">
        <w:rPr>
          <w:rFonts w:cs="Times New Roman"/>
        </w:rPr>
        <w:t xml:space="preserve">), </w:t>
      </w:r>
      <w:r w:rsidR="00AD0A35" w:rsidRPr="007E408A">
        <w:rPr>
          <w:rFonts w:cs="Times New Roman"/>
        </w:rPr>
        <w:t>16 TAC § 24.239(g), (j</w:t>
      </w:r>
      <w:proofErr w:type="gramStart"/>
      <w:r w:rsidR="00AD0A35" w:rsidRPr="007E408A">
        <w:rPr>
          <w:rFonts w:cs="Times New Roman"/>
        </w:rPr>
        <w:t>)(</w:t>
      </w:r>
      <w:proofErr w:type="gramEnd"/>
      <w:r w:rsidR="00AD0A35" w:rsidRPr="007E408A">
        <w:rPr>
          <w:rFonts w:cs="Times New Roman"/>
        </w:rPr>
        <w:t>5)(G)</w:t>
      </w:r>
      <w:r w:rsidR="002D7E91" w:rsidRPr="007E408A">
        <w:rPr>
          <w:rFonts w:cs="Times New Roman"/>
        </w:rPr>
        <w:t>; TWC §§ 13.241(a),</w:t>
      </w:r>
      <w:r w:rsidR="001724BB" w:rsidRPr="007E408A">
        <w:rPr>
          <w:rFonts w:eastAsiaTheme="minorHAnsi" w:cs="Times New Roman"/>
          <w:b w:val="0"/>
          <w:i w:val="0"/>
          <w:iCs w:val="0"/>
          <w:u w:val="none"/>
        </w:rPr>
        <w:t xml:space="preserve"> </w:t>
      </w:r>
      <w:r w:rsidR="001724BB" w:rsidRPr="007E408A">
        <w:rPr>
          <w:rFonts w:cs="Times New Roman"/>
        </w:rPr>
        <w:t>13.246(c)(6);</w:t>
      </w:r>
      <w:r w:rsidR="002D7E91" w:rsidRPr="007E408A">
        <w:rPr>
          <w:rFonts w:cs="Times New Roman"/>
        </w:rPr>
        <w:t xml:space="preserve"> 16 TAC §§ 24.227(a), 24.227(d)(6)</w:t>
      </w:r>
    </w:p>
    <w:p w:rsidR="00AD6FBE" w:rsidRPr="007E408A" w:rsidRDefault="007F5410" w:rsidP="00AD6FBE">
      <w:pPr>
        <w:pStyle w:val="FOFNumbered"/>
        <w:rPr>
          <w:szCs w:val="24"/>
        </w:rPr>
      </w:pPr>
      <w:r w:rsidRPr="007E408A">
        <w:rPr>
          <w:szCs w:val="24"/>
        </w:rPr>
        <w:t>At the end of 2016 Frognot will have $213,218 in outstanding loans (20% of total loans outstanding) maturing, with another $20,485 in outstanding loans maturing in 2017.  Since the infrastructure has already been installed to serve the West Leonard and North Farmersville customers in the areas requested to be dually certificated, there will be no need for any further financial investment in construction.</w:t>
      </w:r>
    </w:p>
    <w:p w:rsidR="006E34E1" w:rsidRPr="007E408A" w:rsidRDefault="006E34E1" w:rsidP="006E34E1">
      <w:pPr>
        <w:pStyle w:val="FOFNumbered"/>
        <w:rPr>
          <w:szCs w:val="24"/>
        </w:rPr>
      </w:pPr>
      <w:r w:rsidRPr="007E408A">
        <w:rPr>
          <w:szCs w:val="24"/>
        </w:rPr>
        <w:t xml:space="preserve">Frognot is able to cover its current financial obligations </w:t>
      </w:r>
    </w:p>
    <w:p w:rsidR="00A113F4" w:rsidRPr="007E408A" w:rsidRDefault="00A113F4" w:rsidP="00AD6FBE">
      <w:pPr>
        <w:pStyle w:val="FOFNumbered"/>
        <w:rPr>
          <w:szCs w:val="24"/>
        </w:rPr>
      </w:pPr>
      <w:r w:rsidRPr="007E408A">
        <w:rPr>
          <w:szCs w:val="24"/>
        </w:rPr>
        <w:t xml:space="preserve">The applicant </w:t>
      </w:r>
      <w:r w:rsidR="00371F99" w:rsidRPr="007E408A">
        <w:rPr>
          <w:szCs w:val="24"/>
        </w:rPr>
        <w:t>did not submit</w:t>
      </w:r>
      <w:r w:rsidRPr="007E408A">
        <w:rPr>
          <w:szCs w:val="24"/>
        </w:rPr>
        <w:t xml:space="preserve"> </w:t>
      </w:r>
      <w:r w:rsidR="00371F99" w:rsidRPr="007E408A">
        <w:rPr>
          <w:szCs w:val="24"/>
        </w:rPr>
        <w:t xml:space="preserve">financial </w:t>
      </w:r>
      <w:r w:rsidRPr="007E408A">
        <w:rPr>
          <w:szCs w:val="24"/>
        </w:rPr>
        <w:t>projections in its application; however,</w:t>
      </w:r>
      <w:r w:rsidR="00371F99" w:rsidRPr="007E408A">
        <w:rPr>
          <w:szCs w:val="24"/>
        </w:rPr>
        <w:t xml:space="preserve"> based on the applicant’s 2015 audited financial s</w:t>
      </w:r>
      <w:r w:rsidRPr="007E408A">
        <w:rPr>
          <w:szCs w:val="24"/>
        </w:rPr>
        <w:t>tatements</w:t>
      </w:r>
      <w:r w:rsidR="007E408A" w:rsidRPr="007E408A">
        <w:rPr>
          <w:szCs w:val="24"/>
        </w:rPr>
        <w:t>,</w:t>
      </w:r>
      <w:r w:rsidRPr="007E408A">
        <w:rPr>
          <w:szCs w:val="24"/>
        </w:rPr>
        <w:t xml:space="preserve"> the applicant had $91,837 in operating income.  Thus, there are no </w:t>
      </w:r>
      <w:r w:rsidR="007E408A" w:rsidRPr="007E408A">
        <w:rPr>
          <w:szCs w:val="24"/>
        </w:rPr>
        <w:t xml:space="preserve">anticipated </w:t>
      </w:r>
      <w:r w:rsidRPr="007E408A">
        <w:rPr>
          <w:szCs w:val="24"/>
        </w:rPr>
        <w:t>shortages to cover.</w:t>
      </w:r>
    </w:p>
    <w:p w:rsidR="00B2183B" w:rsidRPr="007E408A" w:rsidRDefault="00B2183B" w:rsidP="00B2183B">
      <w:pPr>
        <w:pStyle w:val="Heading7"/>
        <w:numPr>
          <w:ilvl w:val="6"/>
          <w:numId w:val="2"/>
        </w:numPr>
        <w:rPr>
          <w:rFonts w:cs="Times New Roman"/>
        </w:rPr>
      </w:pPr>
      <w:r w:rsidRPr="007E408A">
        <w:rPr>
          <w:rFonts w:cs="Times New Roman"/>
        </w:rPr>
        <w:t>Financial Assurance</w:t>
      </w:r>
      <w:r w:rsidR="00615E00" w:rsidRPr="007E408A">
        <w:rPr>
          <w:rFonts w:cs="Times New Roman"/>
        </w:rPr>
        <w:t xml:space="preserve"> </w:t>
      </w:r>
      <w:r w:rsidRPr="007E408A">
        <w:rPr>
          <w:rFonts w:cs="Times New Roman"/>
        </w:rPr>
        <w:t>–</w:t>
      </w:r>
      <w:r w:rsidR="00615E00" w:rsidRPr="007E408A">
        <w:rPr>
          <w:rFonts w:cs="Times New Roman"/>
        </w:rPr>
        <w:t xml:space="preserve"> </w:t>
      </w:r>
      <w:r w:rsidRPr="007E408A">
        <w:rPr>
          <w:rFonts w:cs="Times New Roman"/>
        </w:rPr>
        <w:t xml:space="preserve">TWC </w:t>
      </w:r>
      <w:r w:rsidR="008579FD" w:rsidRPr="007E408A">
        <w:rPr>
          <w:rFonts w:cs="Times New Roman"/>
        </w:rPr>
        <w:t>§</w:t>
      </w:r>
      <w:r w:rsidRPr="007E408A">
        <w:rPr>
          <w:rFonts w:cs="Times New Roman"/>
        </w:rPr>
        <w:t>§ 13.246(d)</w:t>
      </w:r>
      <w:r w:rsidR="008579FD" w:rsidRPr="007E408A">
        <w:rPr>
          <w:rFonts w:cs="Times New Roman"/>
        </w:rPr>
        <w:t>, 13.301(c)</w:t>
      </w:r>
      <w:r w:rsidRPr="007E408A">
        <w:rPr>
          <w:rFonts w:cs="Times New Roman"/>
        </w:rPr>
        <w:t xml:space="preserve">; 16 TAC </w:t>
      </w:r>
      <w:r w:rsidR="008579FD" w:rsidRPr="007E408A">
        <w:rPr>
          <w:rFonts w:cs="Times New Roman"/>
        </w:rPr>
        <w:t>§</w:t>
      </w:r>
      <w:r w:rsidRPr="007E408A">
        <w:rPr>
          <w:rFonts w:cs="Times New Roman"/>
        </w:rPr>
        <w:t>§ 24.227(e)</w:t>
      </w:r>
      <w:r w:rsidR="008579FD" w:rsidRPr="007E408A">
        <w:rPr>
          <w:rFonts w:cs="Times New Roman"/>
        </w:rPr>
        <w:t>, 24.239(h</w:t>
      </w:r>
      <w:r w:rsidR="00FD4F88" w:rsidRPr="007E408A">
        <w:rPr>
          <w:rFonts w:cs="Times New Roman"/>
        </w:rPr>
        <w:t>)</w:t>
      </w:r>
    </w:p>
    <w:p w:rsidR="00B2183B" w:rsidRPr="007E408A" w:rsidRDefault="00B2183B" w:rsidP="00B2183B">
      <w:pPr>
        <w:pStyle w:val="FOFNumbered"/>
        <w:rPr>
          <w:szCs w:val="24"/>
        </w:rPr>
      </w:pPr>
      <w:r w:rsidRPr="007E408A">
        <w:rPr>
          <w:szCs w:val="24"/>
        </w:rPr>
        <w:t xml:space="preserve">There is no need to require </w:t>
      </w:r>
      <w:r w:rsidR="00BF1D61" w:rsidRPr="007E408A">
        <w:rPr>
          <w:szCs w:val="24"/>
        </w:rPr>
        <w:t>Frognot</w:t>
      </w:r>
      <w:r w:rsidRPr="007E408A">
        <w:rPr>
          <w:szCs w:val="24"/>
        </w:rPr>
        <w:t xml:space="preserve"> to provide a bond or other financial assurance to ensure continuous and adequate service.</w:t>
      </w:r>
    </w:p>
    <w:p w:rsidR="00AD6FBE" w:rsidRPr="007E408A" w:rsidRDefault="00AD6FBE" w:rsidP="00AD6FBE">
      <w:pPr>
        <w:pStyle w:val="Heading7"/>
        <w:rPr>
          <w:rFonts w:cs="Times New Roman"/>
        </w:rPr>
      </w:pPr>
      <w:r w:rsidRPr="007E408A">
        <w:rPr>
          <w:rFonts w:cs="Times New Roman"/>
        </w:rPr>
        <w:t>Service from Adjacent</w:t>
      </w:r>
      <w:r w:rsidR="00AD0A35" w:rsidRPr="007E408A">
        <w:rPr>
          <w:rFonts w:cs="Times New Roman"/>
        </w:rPr>
        <w:t xml:space="preserve"> Retail</w:t>
      </w:r>
      <w:r w:rsidRPr="007E408A">
        <w:rPr>
          <w:rFonts w:cs="Times New Roman"/>
        </w:rPr>
        <w:t xml:space="preserve"> Public Utility</w:t>
      </w:r>
      <w:r w:rsidR="00615E00" w:rsidRPr="007E408A">
        <w:rPr>
          <w:rFonts w:cs="Times New Roman"/>
        </w:rPr>
        <w:t xml:space="preserve"> </w:t>
      </w:r>
      <w:r w:rsidR="00AD0A35" w:rsidRPr="007E408A">
        <w:rPr>
          <w:rFonts w:cs="Times New Roman"/>
        </w:rPr>
        <w:t>–</w:t>
      </w:r>
      <w:r w:rsidR="00615E00" w:rsidRPr="007E408A">
        <w:rPr>
          <w:rFonts w:cs="Times New Roman"/>
        </w:rPr>
        <w:t xml:space="preserve"> </w:t>
      </w:r>
      <w:r w:rsidR="00AD0A35" w:rsidRPr="007E408A">
        <w:rPr>
          <w:rFonts w:cs="Times New Roman"/>
        </w:rPr>
        <w:t>TWC § 13.301(d), 16 TAC § 24.239(j</w:t>
      </w:r>
      <w:proofErr w:type="gramStart"/>
      <w:r w:rsidR="00AD0A35" w:rsidRPr="007E408A">
        <w:rPr>
          <w:rFonts w:cs="Times New Roman"/>
        </w:rPr>
        <w:t>)(</w:t>
      </w:r>
      <w:proofErr w:type="gramEnd"/>
      <w:r w:rsidR="00AD0A35" w:rsidRPr="007E408A">
        <w:rPr>
          <w:rFonts w:cs="Times New Roman"/>
        </w:rPr>
        <w:t>5)(F)</w:t>
      </w:r>
      <w:r w:rsidR="002D7E91" w:rsidRPr="007E408A">
        <w:rPr>
          <w:rFonts w:cs="Times New Roman"/>
        </w:rPr>
        <w:t xml:space="preserve">; TWC §13.246(c)(5), </w:t>
      </w:r>
      <w:r w:rsidR="00615E00" w:rsidRPr="007E408A">
        <w:rPr>
          <w:rFonts w:cs="Times New Roman"/>
        </w:rPr>
        <w:t>16 TAC § 24.227(d)(5</w:t>
      </w:r>
      <w:r w:rsidR="002D7E91" w:rsidRPr="007E408A">
        <w:rPr>
          <w:rFonts w:cs="Times New Roman"/>
        </w:rPr>
        <w:t>)</w:t>
      </w:r>
    </w:p>
    <w:p w:rsidR="00AD6FBE" w:rsidRPr="007E408A" w:rsidRDefault="00A50A54" w:rsidP="00AD6FBE">
      <w:pPr>
        <w:pStyle w:val="FOFNumbered"/>
        <w:rPr>
          <w:szCs w:val="24"/>
        </w:rPr>
      </w:pPr>
      <w:r w:rsidRPr="007E408A">
        <w:rPr>
          <w:szCs w:val="24"/>
        </w:rPr>
        <w:t>Frognot is serving the customers</w:t>
      </w:r>
      <w:r w:rsidR="007F5410" w:rsidRPr="007E408A">
        <w:rPr>
          <w:szCs w:val="24"/>
        </w:rPr>
        <w:t xml:space="preserve"> located in the requested areas</w:t>
      </w:r>
      <w:r w:rsidRPr="007E408A">
        <w:rPr>
          <w:szCs w:val="24"/>
        </w:rPr>
        <w:t xml:space="preserve">, </w:t>
      </w:r>
      <w:r w:rsidR="007F5410" w:rsidRPr="007E408A">
        <w:rPr>
          <w:szCs w:val="24"/>
        </w:rPr>
        <w:t xml:space="preserve">which are adjacent to Frognot’s existing CCN boundaries, </w:t>
      </w:r>
      <w:r w:rsidRPr="007E408A">
        <w:rPr>
          <w:szCs w:val="24"/>
        </w:rPr>
        <w:t>and f</w:t>
      </w:r>
      <w:r w:rsidR="007F5410" w:rsidRPr="007E408A">
        <w:rPr>
          <w:szCs w:val="24"/>
        </w:rPr>
        <w:t>ollowing the transfer</w:t>
      </w:r>
      <w:r w:rsidR="00AD6FBE" w:rsidRPr="007E408A">
        <w:rPr>
          <w:szCs w:val="24"/>
        </w:rPr>
        <w:t xml:space="preserve"> </w:t>
      </w:r>
      <w:r w:rsidRPr="007E408A">
        <w:rPr>
          <w:szCs w:val="24"/>
        </w:rPr>
        <w:t xml:space="preserve">Frognot will provide </w:t>
      </w:r>
      <w:r w:rsidR="00AD6FBE" w:rsidRPr="007E408A">
        <w:rPr>
          <w:szCs w:val="24"/>
        </w:rPr>
        <w:t xml:space="preserve">water </w:t>
      </w:r>
      <w:r w:rsidR="005A6C7E" w:rsidRPr="007E408A">
        <w:rPr>
          <w:szCs w:val="24"/>
        </w:rPr>
        <w:t>s</w:t>
      </w:r>
      <w:r w:rsidR="00AD6FBE" w:rsidRPr="007E408A">
        <w:rPr>
          <w:szCs w:val="24"/>
        </w:rPr>
        <w:t>ervice</w:t>
      </w:r>
      <w:r w:rsidR="005A6C7E" w:rsidRPr="007E408A">
        <w:rPr>
          <w:szCs w:val="24"/>
        </w:rPr>
        <w:t xml:space="preserve"> using</w:t>
      </w:r>
      <w:r w:rsidR="00AD6FBE" w:rsidRPr="007E408A">
        <w:rPr>
          <w:szCs w:val="24"/>
        </w:rPr>
        <w:t xml:space="preserve"> the existing infrastructure</w:t>
      </w:r>
      <w:r w:rsidR="00A27B4D" w:rsidRPr="007E408A">
        <w:rPr>
          <w:szCs w:val="24"/>
        </w:rPr>
        <w:t>; therefore</w:t>
      </w:r>
      <w:r w:rsidR="00AD6FBE" w:rsidRPr="007E408A">
        <w:rPr>
          <w:szCs w:val="24"/>
        </w:rPr>
        <w:t>, the feasibility of obtaining service from an adjacent retail public utility was not evaluated.</w:t>
      </w:r>
    </w:p>
    <w:p w:rsidR="002D7E91" w:rsidRPr="007E408A" w:rsidRDefault="002D7E91" w:rsidP="002D7E91">
      <w:pPr>
        <w:pStyle w:val="Heading7"/>
        <w:numPr>
          <w:ilvl w:val="6"/>
          <w:numId w:val="2"/>
        </w:numPr>
        <w:rPr>
          <w:rFonts w:cs="Times New Roman"/>
        </w:rPr>
      </w:pPr>
      <w:r w:rsidRPr="007E408A">
        <w:rPr>
          <w:rFonts w:cs="Times New Roman"/>
        </w:rPr>
        <w:t>Regionalization or Consolidation</w:t>
      </w:r>
      <w:r w:rsidR="00615E00" w:rsidRPr="007E408A">
        <w:rPr>
          <w:rFonts w:cs="Times New Roman"/>
        </w:rPr>
        <w:t xml:space="preserve"> </w:t>
      </w:r>
      <w:r w:rsidRPr="007E408A">
        <w:rPr>
          <w:rFonts w:cs="Times New Roman"/>
        </w:rPr>
        <w:t>–</w:t>
      </w:r>
      <w:r w:rsidR="00615E00" w:rsidRPr="007E408A">
        <w:rPr>
          <w:rFonts w:cs="Times New Roman"/>
        </w:rPr>
        <w:t xml:space="preserve"> TWC </w:t>
      </w:r>
      <w:r w:rsidRPr="007E408A">
        <w:rPr>
          <w:rFonts w:cs="Times New Roman"/>
        </w:rPr>
        <w:t>§ 13.241(d), 16 TAC § 24.227(b)</w:t>
      </w:r>
    </w:p>
    <w:p w:rsidR="002D7E91" w:rsidRPr="007E408A" w:rsidRDefault="00997E22" w:rsidP="002D7E91">
      <w:pPr>
        <w:pStyle w:val="FOFNumbered"/>
        <w:rPr>
          <w:szCs w:val="24"/>
        </w:rPr>
      </w:pPr>
      <w:r w:rsidRPr="007E408A">
        <w:rPr>
          <w:szCs w:val="24"/>
        </w:rPr>
        <w:t xml:space="preserve">Regionalization or consolidation does not need to be considered because </w:t>
      </w:r>
      <w:proofErr w:type="spellStart"/>
      <w:r w:rsidR="00A50A54" w:rsidRPr="007E408A">
        <w:rPr>
          <w:szCs w:val="24"/>
        </w:rPr>
        <w:t>Frognot</w:t>
      </w:r>
      <w:proofErr w:type="spellEnd"/>
      <w:r w:rsidR="002D7E91" w:rsidRPr="007E408A">
        <w:rPr>
          <w:szCs w:val="24"/>
        </w:rPr>
        <w:t xml:space="preserve"> does not anticipate building any new facilities to continue serving the area.</w:t>
      </w:r>
    </w:p>
    <w:p w:rsidR="00AD6FBE" w:rsidRPr="007E408A" w:rsidRDefault="00D30B98" w:rsidP="005A6C7E">
      <w:pPr>
        <w:pStyle w:val="Heading7"/>
        <w:rPr>
          <w:rFonts w:cs="Times New Roman"/>
        </w:rPr>
      </w:pPr>
      <w:r w:rsidRPr="007E408A">
        <w:rPr>
          <w:rFonts w:cs="Times New Roman"/>
        </w:rPr>
        <w:t>Environmental Integrity</w:t>
      </w:r>
      <w:r w:rsidR="00615E00" w:rsidRPr="007E408A">
        <w:rPr>
          <w:rFonts w:cs="Times New Roman"/>
        </w:rPr>
        <w:t xml:space="preserve"> </w:t>
      </w:r>
      <w:r w:rsidRPr="007E408A">
        <w:rPr>
          <w:rFonts w:cs="Times New Roman"/>
        </w:rPr>
        <w:t>–</w:t>
      </w:r>
      <w:r w:rsidR="00615E00" w:rsidRPr="007E408A">
        <w:rPr>
          <w:rFonts w:cs="Times New Roman"/>
        </w:rPr>
        <w:t xml:space="preserve"> </w:t>
      </w:r>
      <w:r w:rsidRPr="007E408A">
        <w:rPr>
          <w:rFonts w:cs="Times New Roman"/>
        </w:rPr>
        <w:t>TWC § </w:t>
      </w:r>
      <w:r w:rsidR="00AD0A35" w:rsidRPr="007E408A">
        <w:rPr>
          <w:rFonts w:cs="Times New Roman"/>
        </w:rPr>
        <w:t>13.301(d), 16 TAC § 24.239(j</w:t>
      </w:r>
      <w:proofErr w:type="gramStart"/>
      <w:r w:rsidR="00AD0A35" w:rsidRPr="007E408A">
        <w:rPr>
          <w:rFonts w:cs="Times New Roman"/>
        </w:rPr>
        <w:t>)(</w:t>
      </w:r>
      <w:proofErr w:type="gramEnd"/>
      <w:r w:rsidR="00AD0A35" w:rsidRPr="007E408A">
        <w:rPr>
          <w:rFonts w:cs="Times New Roman"/>
        </w:rPr>
        <w:t>5)(H)</w:t>
      </w:r>
      <w:r w:rsidR="002D7E91" w:rsidRPr="007E408A">
        <w:rPr>
          <w:rFonts w:cs="Times New Roman"/>
        </w:rPr>
        <w:t>; TWC § 13.246(c)(7), 16 TAC § 24.227(d)(7)</w:t>
      </w:r>
    </w:p>
    <w:p w:rsidR="00AD6FBE" w:rsidRPr="007E408A" w:rsidRDefault="00AD6FBE" w:rsidP="00AD6FBE">
      <w:pPr>
        <w:pStyle w:val="FOFNumbered"/>
        <w:rPr>
          <w:szCs w:val="24"/>
        </w:rPr>
      </w:pPr>
      <w:r w:rsidRPr="007E408A">
        <w:rPr>
          <w:szCs w:val="24"/>
        </w:rPr>
        <w:t>The area will be served with existing infrastructure</w:t>
      </w:r>
      <w:r w:rsidR="00C0630F" w:rsidRPr="007E408A">
        <w:rPr>
          <w:szCs w:val="24"/>
        </w:rPr>
        <w:t xml:space="preserve">. </w:t>
      </w:r>
      <w:r w:rsidR="005A6C7E" w:rsidRPr="007E408A">
        <w:rPr>
          <w:szCs w:val="24"/>
        </w:rPr>
        <w:t xml:space="preserve"> </w:t>
      </w:r>
      <w:r w:rsidR="00C0630F" w:rsidRPr="007E408A">
        <w:rPr>
          <w:szCs w:val="24"/>
        </w:rPr>
        <w:t>Neither</w:t>
      </w:r>
      <w:r w:rsidRPr="007E408A">
        <w:rPr>
          <w:szCs w:val="24"/>
        </w:rPr>
        <w:t xml:space="preserve"> the transfer </w:t>
      </w:r>
      <w:r w:rsidR="00C0630F" w:rsidRPr="007E408A">
        <w:rPr>
          <w:szCs w:val="24"/>
        </w:rPr>
        <w:t xml:space="preserve">of customers and facilities from North Farmersville nor the dual certification </w:t>
      </w:r>
      <w:r w:rsidR="007E408A" w:rsidRPr="007E408A">
        <w:rPr>
          <w:szCs w:val="24"/>
        </w:rPr>
        <w:t>will likely</w:t>
      </w:r>
      <w:r w:rsidRPr="007E408A">
        <w:rPr>
          <w:szCs w:val="24"/>
        </w:rPr>
        <w:t xml:space="preserve"> have </w:t>
      </w:r>
      <w:r w:rsidR="00C0630F" w:rsidRPr="007E408A">
        <w:rPr>
          <w:szCs w:val="24"/>
        </w:rPr>
        <w:t>any</w:t>
      </w:r>
      <w:r w:rsidRPr="007E408A">
        <w:rPr>
          <w:szCs w:val="24"/>
        </w:rPr>
        <w:t xml:space="preserve"> effect on the environmental integrity of the requested area.</w:t>
      </w:r>
    </w:p>
    <w:p w:rsidR="00AD6FBE" w:rsidRPr="007E408A" w:rsidRDefault="00D30B98" w:rsidP="00AD6FBE">
      <w:pPr>
        <w:pStyle w:val="Heading7"/>
        <w:rPr>
          <w:rFonts w:cs="Times New Roman"/>
        </w:rPr>
      </w:pPr>
      <w:r w:rsidRPr="007E408A">
        <w:rPr>
          <w:rFonts w:cs="Times New Roman"/>
        </w:rPr>
        <w:lastRenderedPageBreak/>
        <w:t xml:space="preserve">Effect on </w:t>
      </w:r>
      <w:r w:rsidR="00CC2DA2" w:rsidRPr="007E408A">
        <w:rPr>
          <w:rFonts w:cs="Times New Roman"/>
        </w:rPr>
        <w:t xml:space="preserve">the </w:t>
      </w:r>
      <w:r w:rsidRPr="007E408A">
        <w:rPr>
          <w:rFonts w:cs="Times New Roman"/>
        </w:rPr>
        <w:t>Land</w:t>
      </w:r>
      <w:r w:rsidR="00CC2DA2" w:rsidRPr="007E408A">
        <w:rPr>
          <w:rFonts w:cs="Times New Roman"/>
        </w:rPr>
        <w:t xml:space="preserve"> </w:t>
      </w:r>
      <w:r w:rsidRPr="007E408A">
        <w:rPr>
          <w:rFonts w:cs="Times New Roman"/>
        </w:rPr>
        <w:t>–</w:t>
      </w:r>
      <w:r w:rsidR="00CC2DA2" w:rsidRPr="007E408A">
        <w:rPr>
          <w:rFonts w:cs="Times New Roman"/>
        </w:rPr>
        <w:t xml:space="preserve"> </w:t>
      </w:r>
      <w:r w:rsidRPr="007E408A">
        <w:rPr>
          <w:rFonts w:cs="Times New Roman"/>
        </w:rPr>
        <w:t>TWC § 13.246(c</w:t>
      </w:r>
      <w:proofErr w:type="gramStart"/>
      <w:r w:rsidRPr="007E408A">
        <w:rPr>
          <w:rFonts w:cs="Times New Roman"/>
        </w:rPr>
        <w:t>)(</w:t>
      </w:r>
      <w:proofErr w:type="gramEnd"/>
      <w:r w:rsidRPr="007E408A">
        <w:rPr>
          <w:rFonts w:cs="Times New Roman"/>
        </w:rPr>
        <w:t>9)</w:t>
      </w:r>
      <w:r w:rsidR="002D7E91" w:rsidRPr="007E408A">
        <w:rPr>
          <w:rFonts w:cs="Times New Roman"/>
        </w:rPr>
        <w:t>, 16 TAC § 24.227(d)(9)</w:t>
      </w:r>
    </w:p>
    <w:p w:rsidR="00AD6FBE" w:rsidRPr="007E408A" w:rsidRDefault="00AD6FBE" w:rsidP="00AD6FBE">
      <w:pPr>
        <w:pStyle w:val="FOFNumbered"/>
        <w:rPr>
          <w:szCs w:val="24"/>
        </w:rPr>
      </w:pPr>
      <w:r w:rsidRPr="007E408A">
        <w:rPr>
          <w:szCs w:val="24"/>
        </w:rPr>
        <w:t xml:space="preserve">The requested </w:t>
      </w:r>
      <w:r w:rsidR="00C0630F" w:rsidRPr="007E408A">
        <w:rPr>
          <w:szCs w:val="24"/>
        </w:rPr>
        <w:t xml:space="preserve">service </w:t>
      </w:r>
      <w:r w:rsidRPr="007E408A">
        <w:rPr>
          <w:szCs w:val="24"/>
        </w:rPr>
        <w:t>area</w:t>
      </w:r>
      <w:r w:rsidR="00C0630F" w:rsidRPr="007E408A">
        <w:rPr>
          <w:szCs w:val="24"/>
        </w:rPr>
        <w:t>s</w:t>
      </w:r>
      <w:r w:rsidRPr="007E408A">
        <w:rPr>
          <w:szCs w:val="24"/>
        </w:rPr>
        <w:t xml:space="preserve"> </w:t>
      </w:r>
      <w:r w:rsidR="00C0630F" w:rsidRPr="007E408A">
        <w:rPr>
          <w:szCs w:val="24"/>
        </w:rPr>
        <w:t>are</w:t>
      </w:r>
      <w:r w:rsidRPr="007E408A">
        <w:rPr>
          <w:szCs w:val="24"/>
        </w:rPr>
        <w:t xml:space="preserve"> already being served</w:t>
      </w:r>
      <w:r w:rsidR="00C0630F" w:rsidRPr="007E408A">
        <w:rPr>
          <w:szCs w:val="24"/>
        </w:rPr>
        <w:t xml:space="preserve"> by Frognot</w:t>
      </w:r>
      <w:r w:rsidR="006E34E1" w:rsidRPr="007E408A">
        <w:rPr>
          <w:szCs w:val="24"/>
        </w:rPr>
        <w:t xml:space="preserve"> and no construction is necessary</w:t>
      </w:r>
      <w:r w:rsidRPr="007E408A">
        <w:rPr>
          <w:szCs w:val="24"/>
        </w:rPr>
        <w:t>; therefore, the effect on the land in the requested area was not evaluated.</w:t>
      </w:r>
    </w:p>
    <w:p w:rsidR="00AD0A35" w:rsidRPr="007E408A" w:rsidRDefault="00AD0A35" w:rsidP="00AD0A35">
      <w:pPr>
        <w:pStyle w:val="Heading7"/>
        <w:rPr>
          <w:rFonts w:cs="Times New Roman"/>
        </w:rPr>
      </w:pPr>
      <w:r w:rsidRPr="007E408A">
        <w:rPr>
          <w:rFonts w:cs="Times New Roman"/>
        </w:rPr>
        <w:t>Improvement of Service</w:t>
      </w:r>
      <w:r w:rsidR="00CC2DA2" w:rsidRPr="007E408A">
        <w:rPr>
          <w:rFonts w:cs="Times New Roman"/>
        </w:rPr>
        <w:t xml:space="preserve"> </w:t>
      </w:r>
      <w:r w:rsidRPr="007E408A">
        <w:rPr>
          <w:rFonts w:cs="Times New Roman"/>
        </w:rPr>
        <w:t>–</w:t>
      </w:r>
      <w:r w:rsidR="00CC2DA2" w:rsidRPr="007E408A">
        <w:rPr>
          <w:rFonts w:cs="Times New Roman"/>
        </w:rPr>
        <w:t xml:space="preserve"> </w:t>
      </w:r>
      <w:r w:rsidRPr="007E408A">
        <w:rPr>
          <w:rFonts w:cs="Times New Roman"/>
        </w:rPr>
        <w:t>TWC § </w:t>
      </w:r>
      <w:r w:rsidR="007E443B" w:rsidRPr="007E408A">
        <w:rPr>
          <w:rFonts w:cs="Times New Roman"/>
        </w:rPr>
        <w:t>13.301(d), 16 TAC § 24.239(j</w:t>
      </w:r>
      <w:proofErr w:type="gramStart"/>
      <w:r w:rsidR="007E443B" w:rsidRPr="007E408A">
        <w:rPr>
          <w:rFonts w:cs="Times New Roman"/>
        </w:rPr>
        <w:t>)(</w:t>
      </w:r>
      <w:proofErr w:type="gramEnd"/>
      <w:r w:rsidR="007E443B" w:rsidRPr="007E408A">
        <w:rPr>
          <w:rFonts w:cs="Times New Roman"/>
        </w:rPr>
        <w:t>5)(I)</w:t>
      </w:r>
      <w:r w:rsidR="002D7E91" w:rsidRPr="007E408A">
        <w:rPr>
          <w:rFonts w:cs="Times New Roman"/>
        </w:rPr>
        <w:t>; TWC § 13.246(c)(8), 16 TAC § 24.227(d)(8)</w:t>
      </w:r>
    </w:p>
    <w:p w:rsidR="00ED5C5C" w:rsidRPr="007E408A" w:rsidRDefault="00ED5C5C" w:rsidP="00AD0A35">
      <w:pPr>
        <w:pStyle w:val="FOFNumbered"/>
        <w:rPr>
          <w:szCs w:val="24"/>
        </w:rPr>
      </w:pPr>
      <w:r w:rsidRPr="007E408A">
        <w:rPr>
          <w:szCs w:val="24"/>
        </w:rPr>
        <w:t>Granting</w:t>
      </w:r>
      <w:r w:rsidR="00DD51D2" w:rsidRPr="007E408A">
        <w:rPr>
          <w:szCs w:val="24"/>
        </w:rPr>
        <w:t xml:space="preserve"> Frognot’s amended CCN will allow Frognot WSC to meet </w:t>
      </w:r>
      <w:r w:rsidR="006E34E1" w:rsidRPr="007E408A">
        <w:rPr>
          <w:szCs w:val="24"/>
        </w:rPr>
        <w:t>TCEQ</w:t>
      </w:r>
      <w:r w:rsidR="00DD51D2" w:rsidRPr="007E408A">
        <w:rPr>
          <w:szCs w:val="24"/>
        </w:rPr>
        <w:t xml:space="preserve"> requirements for the provisioning of service within </w:t>
      </w:r>
      <w:r w:rsidR="007E408A" w:rsidRPr="007E408A">
        <w:rPr>
          <w:szCs w:val="24"/>
        </w:rPr>
        <w:t>the requested</w:t>
      </w:r>
      <w:r w:rsidR="00DD51D2" w:rsidRPr="007E408A">
        <w:rPr>
          <w:szCs w:val="24"/>
        </w:rPr>
        <w:t xml:space="preserve"> service area.  </w:t>
      </w:r>
    </w:p>
    <w:p w:rsidR="00DD51D2" w:rsidRPr="007E408A" w:rsidRDefault="00DD51D2" w:rsidP="00AD0A35">
      <w:pPr>
        <w:pStyle w:val="FOFNumbered"/>
        <w:rPr>
          <w:szCs w:val="24"/>
        </w:rPr>
      </w:pPr>
      <w:r w:rsidRPr="007E408A">
        <w:rPr>
          <w:szCs w:val="24"/>
        </w:rPr>
        <w:t xml:space="preserve">Granting </w:t>
      </w:r>
      <w:r w:rsidR="00ED5C5C" w:rsidRPr="007E408A">
        <w:rPr>
          <w:szCs w:val="24"/>
        </w:rPr>
        <w:t>Frognot’s</w:t>
      </w:r>
      <w:r w:rsidRPr="007E408A">
        <w:rPr>
          <w:szCs w:val="24"/>
        </w:rPr>
        <w:t xml:space="preserve"> amended certificate will also allow Frognot to facilitate system analysis and facility improvements</w:t>
      </w:r>
      <w:r w:rsidR="00ED5C5C" w:rsidRPr="007E408A">
        <w:rPr>
          <w:szCs w:val="24"/>
        </w:rPr>
        <w:t xml:space="preserve"> of its infrastructure located in the dually certificated areas</w:t>
      </w:r>
      <w:r w:rsidRPr="007E408A">
        <w:rPr>
          <w:szCs w:val="24"/>
        </w:rPr>
        <w:t>.</w:t>
      </w:r>
    </w:p>
    <w:p w:rsidR="00777431" w:rsidRPr="007E408A" w:rsidRDefault="00777431" w:rsidP="00777431">
      <w:pPr>
        <w:pStyle w:val="FOFNumbered"/>
        <w:rPr>
          <w:szCs w:val="24"/>
        </w:rPr>
      </w:pPr>
      <w:r w:rsidRPr="007E408A">
        <w:rPr>
          <w:szCs w:val="24"/>
        </w:rPr>
        <w:t xml:space="preserve">Frognot will serve North Farmersville and West Leonard customers in the proposed dually certificated areas due to water-supply capacity issues in the North Farmersville and West Leonard service areas. </w:t>
      </w:r>
    </w:p>
    <w:p w:rsidR="007E443B" w:rsidRPr="007E408A" w:rsidRDefault="007E443B" w:rsidP="007E443B">
      <w:pPr>
        <w:pStyle w:val="Heading7"/>
        <w:rPr>
          <w:rFonts w:cs="Times New Roman"/>
        </w:rPr>
      </w:pPr>
      <w:r w:rsidRPr="007E408A">
        <w:rPr>
          <w:rFonts w:cs="Times New Roman"/>
        </w:rPr>
        <w:t>Lowering of Costs</w:t>
      </w:r>
      <w:r w:rsidR="00CC2DA2" w:rsidRPr="007E408A">
        <w:rPr>
          <w:rFonts w:cs="Times New Roman"/>
        </w:rPr>
        <w:t xml:space="preserve"> </w:t>
      </w:r>
      <w:r w:rsidRPr="007E408A">
        <w:rPr>
          <w:rFonts w:cs="Times New Roman"/>
        </w:rPr>
        <w:t>–</w:t>
      </w:r>
      <w:r w:rsidR="00CC2DA2" w:rsidRPr="007E408A">
        <w:rPr>
          <w:rFonts w:cs="Times New Roman"/>
        </w:rPr>
        <w:t xml:space="preserve"> </w:t>
      </w:r>
      <w:r w:rsidRPr="007E408A">
        <w:rPr>
          <w:rFonts w:cs="Times New Roman"/>
        </w:rPr>
        <w:t>TWC § 13.301(d), 16 TAC § 24.239(j</w:t>
      </w:r>
      <w:proofErr w:type="gramStart"/>
      <w:r w:rsidRPr="007E408A">
        <w:rPr>
          <w:rFonts w:cs="Times New Roman"/>
        </w:rPr>
        <w:t>)(</w:t>
      </w:r>
      <w:proofErr w:type="gramEnd"/>
      <w:r w:rsidRPr="007E408A">
        <w:rPr>
          <w:rFonts w:cs="Times New Roman"/>
        </w:rPr>
        <w:t>5)(I)</w:t>
      </w:r>
      <w:r w:rsidR="002D7E91" w:rsidRPr="007E408A">
        <w:rPr>
          <w:rFonts w:cs="Times New Roman"/>
        </w:rPr>
        <w:t>; TWC § 13.246(c)(8), 16 TAC § 24.227(d)(8)</w:t>
      </w:r>
    </w:p>
    <w:p w:rsidR="00941D60" w:rsidRPr="007E408A" w:rsidRDefault="00777431" w:rsidP="00941D60">
      <w:pPr>
        <w:pStyle w:val="FOFNumbered"/>
        <w:rPr>
          <w:szCs w:val="24"/>
        </w:rPr>
      </w:pPr>
      <w:r w:rsidRPr="007E408A">
        <w:rPr>
          <w:szCs w:val="24"/>
        </w:rPr>
        <w:t>North Farmersville c</w:t>
      </w:r>
      <w:r w:rsidR="00941D60" w:rsidRPr="007E408A">
        <w:rPr>
          <w:szCs w:val="24"/>
        </w:rPr>
        <w:t xml:space="preserve">ustomers </w:t>
      </w:r>
      <w:r w:rsidRPr="007E408A">
        <w:rPr>
          <w:szCs w:val="24"/>
        </w:rPr>
        <w:t xml:space="preserve">transferred to Frognot </w:t>
      </w:r>
      <w:r w:rsidR="00941D60" w:rsidRPr="007E408A">
        <w:rPr>
          <w:szCs w:val="24"/>
        </w:rPr>
        <w:t xml:space="preserve">will be charged different rates than they were charged before the transaction.  </w:t>
      </w:r>
    </w:p>
    <w:p w:rsidR="00AD6FBE" w:rsidRPr="007E408A" w:rsidRDefault="00CC2DA2" w:rsidP="00AD6FBE">
      <w:pPr>
        <w:pStyle w:val="Heading7"/>
        <w:rPr>
          <w:rFonts w:cs="Times New Roman"/>
        </w:rPr>
      </w:pPr>
      <w:r w:rsidRPr="007E408A">
        <w:rPr>
          <w:rFonts w:cs="Times New Roman"/>
        </w:rPr>
        <w:t xml:space="preserve">Tariff and </w:t>
      </w:r>
      <w:r w:rsidR="009B77F1" w:rsidRPr="007E408A">
        <w:rPr>
          <w:rFonts w:cs="Times New Roman"/>
        </w:rPr>
        <w:t>Map</w:t>
      </w:r>
      <w:r w:rsidRPr="007E408A">
        <w:rPr>
          <w:rFonts w:cs="Times New Roman"/>
        </w:rPr>
        <w:t>s</w:t>
      </w:r>
    </w:p>
    <w:p w:rsidR="00426C57" w:rsidRPr="007E408A" w:rsidRDefault="003470E6" w:rsidP="00426C57">
      <w:pPr>
        <w:pStyle w:val="FOFNumbered"/>
        <w:rPr>
          <w:rFonts w:eastAsiaTheme="minorHAnsi"/>
          <w:szCs w:val="24"/>
        </w:rPr>
      </w:pPr>
      <w:r w:rsidRPr="007E408A">
        <w:rPr>
          <w:rFonts w:eastAsiaTheme="minorHAnsi"/>
          <w:szCs w:val="24"/>
        </w:rPr>
        <w:t>On July 27</w:t>
      </w:r>
      <w:r w:rsidR="00426C57" w:rsidRPr="007E408A">
        <w:rPr>
          <w:rFonts w:eastAsiaTheme="minorHAnsi"/>
          <w:szCs w:val="24"/>
        </w:rPr>
        <w:t xml:space="preserve">, 2018, Commission Staff emailed </w:t>
      </w:r>
      <w:r w:rsidR="003C6EAB" w:rsidRPr="007E408A">
        <w:rPr>
          <w:rFonts w:eastAsiaTheme="minorHAnsi"/>
          <w:szCs w:val="24"/>
        </w:rPr>
        <w:t xml:space="preserve">its proposed map and certificate </w:t>
      </w:r>
      <w:r w:rsidR="00426C57" w:rsidRPr="007E408A">
        <w:rPr>
          <w:rFonts w:eastAsiaTheme="minorHAnsi"/>
          <w:szCs w:val="24"/>
        </w:rPr>
        <w:t xml:space="preserve">to </w:t>
      </w:r>
      <w:r w:rsidR="003C6EAB" w:rsidRPr="007E408A">
        <w:rPr>
          <w:rFonts w:eastAsiaTheme="minorHAnsi"/>
          <w:szCs w:val="24"/>
        </w:rPr>
        <w:t>Frognot</w:t>
      </w:r>
      <w:r w:rsidR="00426C57" w:rsidRPr="007E408A">
        <w:rPr>
          <w:rFonts w:eastAsiaTheme="minorHAnsi"/>
          <w:szCs w:val="24"/>
        </w:rPr>
        <w:t>.</w:t>
      </w:r>
    </w:p>
    <w:p w:rsidR="0038531C" w:rsidRPr="007E408A" w:rsidRDefault="0038531C" w:rsidP="0038531C">
      <w:pPr>
        <w:pStyle w:val="FOFNumbered"/>
        <w:rPr>
          <w:szCs w:val="24"/>
        </w:rPr>
      </w:pPr>
      <w:r w:rsidRPr="007E408A">
        <w:rPr>
          <w:szCs w:val="24"/>
        </w:rPr>
        <w:t xml:space="preserve">On August 13, 2018, Frognot filed a consent </w:t>
      </w:r>
      <w:r w:rsidR="00106DCB" w:rsidRPr="007E408A">
        <w:rPr>
          <w:szCs w:val="24"/>
        </w:rPr>
        <w:t>form, executed by Frognot’s engineer</w:t>
      </w:r>
      <w:r w:rsidRPr="007E408A">
        <w:rPr>
          <w:szCs w:val="24"/>
        </w:rPr>
        <w:t xml:space="preserve"> </w:t>
      </w:r>
      <w:r w:rsidR="00106DCB" w:rsidRPr="007E408A">
        <w:rPr>
          <w:szCs w:val="24"/>
        </w:rPr>
        <w:t>Mr. Eddy Daniel,</w:t>
      </w:r>
      <w:r w:rsidRPr="007E408A">
        <w:rPr>
          <w:szCs w:val="24"/>
        </w:rPr>
        <w:t xml:space="preserve"> concurring with the maps and certificate prepared by Commission Staff and transmitted by email on July 27, 2018</w:t>
      </w:r>
      <w:r w:rsidR="00106DCB" w:rsidRPr="007E408A">
        <w:rPr>
          <w:szCs w:val="24"/>
        </w:rPr>
        <w:t xml:space="preserve">.  Additionally, Frognot </w:t>
      </w:r>
      <w:r w:rsidR="0038692D" w:rsidRPr="007E408A">
        <w:rPr>
          <w:szCs w:val="24"/>
        </w:rPr>
        <w:t>filed</w:t>
      </w:r>
      <w:r w:rsidRPr="007E408A">
        <w:rPr>
          <w:szCs w:val="24"/>
        </w:rPr>
        <w:t xml:space="preserve"> consent forms</w:t>
      </w:r>
      <w:r w:rsidR="00106DCB" w:rsidRPr="007E408A">
        <w:rPr>
          <w:szCs w:val="24"/>
        </w:rPr>
        <w:t>,</w:t>
      </w:r>
      <w:r w:rsidRPr="007E408A">
        <w:rPr>
          <w:szCs w:val="24"/>
        </w:rPr>
        <w:t xml:space="preserve"> </w:t>
      </w:r>
      <w:r w:rsidR="00106DCB" w:rsidRPr="007E408A">
        <w:rPr>
          <w:szCs w:val="24"/>
        </w:rPr>
        <w:t>executed by Frognot’s engineer Mr. Eddy Daniel, on behalf of</w:t>
      </w:r>
      <w:r w:rsidRPr="007E408A">
        <w:rPr>
          <w:szCs w:val="24"/>
        </w:rPr>
        <w:t xml:space="preserve"> North Farmersville, Caddo Basin, and West Leonard concurring with the maps prepared by Commission Staff and</w:t>
      </w:r>
      <w:r w:rsidRPr="007E408A">
        <w:rPr>
          <w:rFonts w:eastAsiaTheme="minorHAnsi"/>
          <w:snapToGrid/>
          <w:szCs w:val="24"/>
        </w:rPr>
        <w:t xml:space="preserve"> </w:t>
      </w:r>
      <w:r w:rsidRPr="007E408A">
        <w:rPr>
          <w:szCs w:val="24"/>
        </w:rPr>
        <w:t>transmitted by email on July 27, 2018.</w:t>
      </w:r>
    </w:p>
    <w:p w:rsidR="00AD6FBE" w:rsidRPr="007E408A" w:rsidRDefault="00AD6FBE" w:rsidP="00426C57">
      <w:pPr>
        <w:pStyle w:val="FOFNumbered"/>
        <w:rPr>
          <w:rFonts w:eastAsiaTheme="minorHAnsi"/>
          <w:szCs w:val="24"/>
        </w:rPr>
      </w:pPr>
      <w:r w:rsidRPr="007E408A">
        <w:rPr>
          <w:rFonts w:eastAsiaTheme="minorHAnsi"/>
          <w:szCs w:val="24"/>
        </w:rPr>
        <w:t xml:space="preserve">On </w:t>
      </w:r>
      <w:r w:rsidR="007352D4" w:rsidRPr="007E408A">
        <w:rPr>
          <w:rFonts w:eastAsiaTheme="minorHAnsi"/>
          <w:szCs w:val="24"/>
        </w:rPr>
        <w:t>September 7</w:t>
      </w:r>
      <w:r w:rsidRPr="007E408A">
        <w:rPr>
          <w:rFonts w:eastAsiaTheme="minorHAnsi"/>
          <w:szCs w:val="24"/>
        </w:rPr>
        <w:t>,</w:t>
      </w:r>
      <w:r w:rsidR="00426C57" w:rsidRPr="007E408A">
        <w:rPr>
          <w:rFonts w:eastAsiaTheme="minorHAnsi"/>
          <w:szCs w:val="24"/>
        </w:rPr>
        <w:t xml:space="preserve"> </w:t>
      </w:r>
      <w:r w:rsidR="007352D4" w:rsidRPr="007E408A">
        <w:rPr>
          <w:rFonts w:eastAsiaTheme="minorHAnsi"/>
          <w:szCs w:val="24"/>
        </w:rPr>
        <w:t xml:space="preserve">2018, </w:t>
      </w:r>
      <w:r w:rsidR="00CB3614" w:rsidRPr="007E408A">
        <w:rPr>
          <w:rFonts w:eastAsiaTheme="minorHAnsi"/>
          <w:szCs w:val="24"/>
        </w:rPr>
        <w:t>Commission Staff filed</w:t>
      </w:r>
      <w:r w:rsidR="007352D4" w:rsidRPr="007E408A">
        <w:rPr>
          <w:rFonts w:eastAsiaTheme="minorHAnsi"/>
          <w:szCs w:val="24"/>
        </w:rPr>
        <w:t>, as an attachment to the joint motion to admit evidence,</w:t>
      </w:r>
      <w:r w:rsidR="00CB3614" w:rsidRPr="007E408A">
        <w:rPr>
          <w:rFonts w:eastAsiaTheme="minorHAnsi"/>
          <w:szCs w:val="24"/>
        </w:rPr>
        <w:t xml:space="preserve"> </w:t>
      </w:r>
      <w:r w:rsidR="0038531C" w:rsidRPr="007E408A">
        <w:rPr>
          <w:rFonts w:eastAsiaTheme="minorHAnsi"/>
          <w:szCs w:val="24"/>
        </w:rPr>
        <w:t>its</w:t>
      </w:r>
      <w:r w:rsidR="009B77F1" w:rsidRPr="007E408A">
        <w:rPr>
          <w:rFonts w:eastAsiaTheme="minorHAnsi"/>
          <w:szCs w:val="24"/>
        </w:rPr>
        <w:t xml:space="preserve"> proposed map</w:t>
      </w:r>
      <w:r w:rsidR="00CB3614" w:rsidRPr="007E408A">
        <w:rPr>
          <w:rFonts w:eastAsiaTheme="minorHAnsi"/>
          <w:szCs w:val="24"/>
        </w:rPr>
        <w:t xml:space="preserve"> and certificate </w:t>
      </w:r>
      <w:r w:rsidR="007352D4" w:rsidRPr="007E408A">
        <w:rPr>
          <w:rFonts w:eastAsiaTheme="minorHAnsi"/>
          <w:szCs w:val="24"/>
        </w:rPr>
        <w:t xml:space="preserve">as consented by the applicants and affected parties in their response to Order No. 8 filed on August 13, 2018. </w:t>
      </w:r>
    </w:p>
    <w:p w:rsidR="00AD6FBE" w:rsidRPr="007E408A" w:rsidRDefault="00AD6FBE" w:rsidP="00AD6FBE">
      <w:pPr>
        <w:pStyle w:val="Heading7"/>
        <w:rPr>
          <w:rFonts w:cs="Times New Roman"/>
        </w:rPr>
      </w:pPr>
      <w:r w:rsidRPr="007E408A">
        <w:rPr>
          <w:rFonts w:cs="Times New Roman"/>
        </w:rPr>
        <w:t>Informal Disposition</w:t>
      </w:r>
      <w:r w:rsidR="004F21E1" w:rsidRPr="007E408A">
        <w:rPr>
          <w:rFonts w:cs="Times New Roman"/>
        </w:rPr>
        <w:t xml:space="preserve"> </w:t>
      </w:r>
    </w:p>
    <w:p w:rsidR="004F21E1" w:rsidRPr="007E408A" w:rsidRDefault="004F21E1" w:rsidP="004F21E1">
      <w:pPr>
        <w:pStyle w:val="FOFNumbered"/>
        <w:rPr>
          <w:szCs w:val="24"/>
        </w:rPr>
      </w:pPr>
      <w:r w:rsidRPr="007E408A">
        <w:rPr>
          <w:szCs w:val="24"/>
        </w:rPr>
        <w:t>More than 15 days have passed since the completion of notice provided in this docket.</w:t>
      </w:r>
    </w:p>
    <w:p w:rsidR="00CB3614" w:rsidRPr="007E408A" w:rsidRDefault="00CB3614" w:rsidP="004F21E1">
      <w:pPr>
        <w:pStyle w:val="FOFNumbered"/>
        <w:rPr>
          <w:szCs w:val="24"/>
        </w:rPr>
      </w:pPr>
      <w:r w:rsidRPr="007E408A">
        <w:rPr>
          <w:szCs w:val="24"/>
        </w:rPr>
        <w:lastRenderedPageBreak/>
        <w:t>No person filed a protest or motion to intervene.</w:t>
      </w:r>
    </w:p>
    <w:p w:rsidR="004F21E1" w:rsidRPr="007E408A" w:rsidRDefault="004F21E1" w:rsidP="004F21E1">
      <w:pPr>
        <w:pStyle w:val="FOFNumbered"/>
        <w:rPr>
          <w:szCs w:val="24"/>
        </w:rPr>
      </w:pPr>
      <w:r w:rsidRPr="007E408A">
        <w:rPr>
          <w:szCs w:val="24"/>
        </w:rPr>
        <w:t>Frognot, North Farmersville, and Commission Staff are the only parties to this proceeding.</w:t>
      </w:r>
    </w:p>
    <w:p w:rsidR="004F21E1" w:rsidRPr="007E408A" w:rsidRDefault="00CB3614" w:rsidP="004F21E1">
      <w:pPr>
        <w:pStyle w:val="FOFNumbered"/>
        <w:rPr>
          <w:szCs w:val="24"/>
        </w:rPr>
      </w:pPr>
      <w:r w:rsidRPr="007E408A">
        <w:rPr>
          <w:szCs w:val="24"/>
        </w:rPr>
        <w:t>No party requested a hearing and no hearing is needed</w:t>
      </w:r>
      <w:r w:rsidR="004F21E1" w:rsidRPr="007E408A">
        <w:rPr>
          <w:szCs w:val="24"/>
        </w:rPr>
        <w:t>.</w:t>
      </w:r>
    </w:p>
    <w:p w:rsidR="004F21E1" w:rsidRPr="007E408A" w:rsidRDefault="004F21E1" w:rsidP="004F21E1">
      <w:pPr>
        <w:pStyle w:val="FOFNumbered"/>
        <w:rPr>
          <w:szCs w:val="24"/>
        </w:rPr>
      </w:pPr>
      <w:r w:rsidRPr="007E408A">
        <w:rPr>
          <w:szCs w:val="24"/>
        </w:rPr>
        <w:t xml:space="preserve">Commission Staff recommended </w:t>
      </w:r>
      <w:r w:rsidR="00700EAE" w:rsidRPr="007E408A">
        <w:rPr>
          <w:szCs w:val="24"/>
        </w:rPr>
        <w:t>approval of the application</w:t>
      </w:r>
      <w:r w:rsidRPr="007E408A">
        <w:rPr>
          <w:szCs w:val="24"/>
        </w:rPr>
        <w:t>.</w:t>
      </w:r>
    </w:p>
    <w:p w:rsidR="00AD6FBE" w:rsidRPr="007E408A" w:rsidRDefault="00191EE4" w:rsidP="00AD6FBE">
      <w:pPr>
        <w:pStyle w:val="FOFNumbered"/>
        <w:rPr>
          <w:szCs w:val="24"/>
        </w:rPr>
      </w:pPr>
      <w:r w:rsidRPr="007E408A">
        <w:rPr>
          <w:szCs w:val="24"/>
        </w:rPr>
        <w:t>This</w:t>
      </w:r>
      <w:r w:rsidR="00AD6FBE" w:rsidRPr="007E408A">
        <w:rPr>
          <w:szCs w:val="24"/>
        </w:rPr>
        <w:t xml:space="preserve"> </w:t>
      </w:r>
      <w:r w:rsidRPr="007E408A">
        <w:rPr>
          <w:szCs w:val="24"/>
        </w:rPr>
        <w:t>decision</w:t>
      </w:r>
      <w:r w:rsidR="00AD6FBE" w:rsidRPr="007E408A">
        <w:rPr>
          <w:szCs w:val="24"/>
        </w:rPr>
        <w:t xml:space="preserve"> is not adverse to any party.</w:t>
      </w:r>
    </w:p>
    <w:p w:rsidR="00AD6FBE" w:rsidRPr="007E408A" w:rsidRDefault="00AD6FBE" w:rsidP="00AD6FBE">
      <w:pPr>
        <w:pStyle w:val="Heading1"/>
        <w:rPr>
          <w:rFonts w:cs="Times New Roman"/>
          <w:szCs w:val="24"/>
        </w:rPr>
      </w:pPr>
      <w:r w:rsidRPr="007E408A">
        <w:rPr>
          <w:rFonts w:cs="Times New Roman"/>
          <w:szCs w:val="24"/>
        </w:rPr>
        <w:t>Conclusions of Law</w:t>
      </w:r>
    </w:p>
    <w:p w:rsidR="00521DD0" w:rsidRPr="007E408A" w:rsidRDefault="00521DD0" w:rsidP="00521DD0">
      <w:pPr>
        <w:pStyle w:val="BodyText"/>
      </w:pPr>
      <w:r w:rsidRPr="007E408A">
        <w:t>The Commission makes the following conclusions of law.</w:t>
      </w:r>
    </w:p>
    <w:p w:rsidR="00025836" w:rsidRPr="007E408A" w:rsidRDefault="00025836" w:rsidP="00AD6FBE">
      <w:pPr>
        <w:pStyle w:val="COLNumbered"/>
        <w:rPr>
          <w:szCs w:val="24"/>
        </w:rPr>
      </w:pPr>
      <w:proofErr w:type="spellStart"/>
      <w:r w:rsidRPr="007E408A">
        <w:rPr>
          <w:szCs w:val="24"/>
        </w:rPr>
        <w:t>Frognot</w:t>
      </w:r>
      <w:proofErr w:type="spellEnd"/>
      <w:r w:rsidRPr="007E408A">
        <w:rPr>
          <w:szCs w:val="24"/>
        </w:rPr>
        <w:t xml:space="preserve"> </w:t>
      </w:r>
      <w:r w:rsidR="007E408A" w:rsidRPr="007E408A">
        <w:rPr>
          <w:szCs w:val="24"/>
        </w:rPr>
        <w:t xml:space="preserve">and </w:t>
      </w:r>
      <w:r w:rsidR="007E408A" w:rsidRPr="007E408A">
        <w:rPr>
          <w:szCs w:val="24"/>
        </w:rPr>
        <w:t xml:space="preserve">North Farmersville </w:t>
      </w:r>
      <w:r w:rsidR="007E408A" w:rsidRPr="007E408A">
        <w:rPr>
          <w:szCs w:val="24"/>
        </w:rPr>
        <w:t>are a retail public utilities</w:t>
      </w:r>
      <w:r w:rsidRPr="007E408A">
        <w:rPr>
          <w:szCs w:val="24"/>
        </w:rPr>
        <w:t xml:space="preserve"> as defined in Texas Wa</w:t>
      </w:r>
      <w:r w:rsidR="00F02CF2" w:rsidRPr="007E408A">
        <w:rPr>
          <w:szCs w:val="24"/>
        </w:rPr>
        <w:t>ter Code (TWC) § 13.002(19) and </w:t>
      </w:r>
      <w:r w:rsidRPr="007E408A">
        <w:rPr>
          <w:szCs w:val="24"/>
        </w:rPr>
        <w:t>16 TAC § 24.3(59) and water supply corporation</w:t>
      </w:r>
      <w:r w:rsidR="007E408A" w:rsidRPr="007E408A">
        <w:rPr>
          <w:szCs w:val="24"/>
        </w:rPr>
        <w:t>s</w:t>
      </w:r>
      <w:r w:rsidRPr="007E408A">
        <w:rPr>
          <w:szCs w:val="24"/>
        </w:rPr>
        <w:t xml:space="preserve"> as defined in TWC § 13.002(24) and 16 TAC § 24.3(77).</w:t>
      </w:r>
    </w:p>
    <w:p w:rsidR="00AD6FBE" w:rsidRPr="007E408A" w:rsidRDefault="00AD6FBE" w:rsidP="00AD6FBE">
      <w:pPr>
        <w:pStyle w:val="COLNumbered"/>
        <w:rPr>
          <w:szCs w:val="24"/>
        </w:rPr>
      </w:pPr>
      <w:r w:rsidRPr="007E408A">
        <w:rPr>
          <w:szCs w:val="24"/>
        </w:rPr>
        <w:t xml:space="preserve">The Commission has jurisdiction over this proceeding </w:t>
      </w:r>
      <w:r w:rsidR="00025836" w:rsidRPr="007E408A">
        <w:rPr>
          <w:szCs w:val="24"/>
        </w:rPr>
        <w:t>under Texas Water Code (TWC) §§ </w:t>
      </w:r>
      <w:r w:rsidRPr="007E408A">
        <w:rPr>
          <w:szCs w:val="24"/>
        </w:rPr>
        <w:t xml:space="preserve">13.241, </w:t>
      </w:r>
      <w:r w:rsidR="003D3FDB" w:rsidRPr="007E408A">
        <w:rPr>
          <w:szCs w:val="24"/>
        </w:rPr>
        <w:t xml:space="preserve">13.242, </w:t>
      </w:r>
      <w:r w:rsidRPr="007E408A">
        <w:rPr>
          <w:szCs w:val="24"/>
        </w:rPr>
        <w:t>13.244, 13.246, 13.251, 13.254, and 13.301.</w:t>
      </w:r>
    </w:p>
    <w:p w:rsidR="00BA34DA" w:rsidRPr="007E408A" w:rsidRDefault="00BA34DA" w:rsidP="00BA34DA">
      <w:pPr>
        <w:pStyle w:val="COLNumbered"/>
        <w:rPr>
          <w:szCs w:val="24"/>
        </w:rPr>
      </w:pPr>
      <w:r w:rsidRPr="007E408A">
        <w:rPr>
          <w:szCs w:val="24"/>
        </w:rPr>
        <w:t>The Commission processed the application in accordance with the requirements of the Administrative Procedure Act,</w:t>
      </w:r>
      <w:r w:rsidRPr="007E408A">
        <w:rPr>
          <w:szCs w:val="24"/>
          <w:vertAlign w:val="superscript"/>
        </w:rPr>
        <w:footnoteReference w:id="2"/>
      </w:r>
      <w:r w:rsidRPr="007E408A">
        <w:rPr>
          <w:szCs w:val="24"/>
        </w:rPr>
        <w:t xml:space="preserve"> TWC, and Commission rules.</w:t>
      </w:r>
    </w:p>
    <w:p w:rsidR="00271781" w:rsidRPr="007E408A" w:rsidRDefault="00271781" w:rsidP="00AE2C76">
      <w:pPr>
        <w:pStyle w:val="COLNumbered"/>
        <w:rPr>
          <w:szCs w:val="24"/>
        </w:rPr>
      </w:pPr>
      <w:r w:rsidRPr="007E408A">
        <w:rPr>
          <w:szCs w:val="24"/>
        </w:rPr>
        <w:t xml:space="preserve">Notice of the application for amendment of the CCN was provided as required by TWC </w:t>
      </w:r>
      <w:bookmarkStart w:id="1" w:name="_Hlk521261357"/>
      <w:r w:rsidRPr="007E408A">
        <w:rPr>
          <w:szCs w:val="24"/>
        </w:rPr>
        <w:t>§</w:t>
      </w:r>
      <w:bookmarkEnd w:id="1"/>
      <w:r w:rsidRPr="007E408A">
        <w:rPr>
          <w:szCs w:val="24"/>
        </w:rPr>
        <w:t> 13.246 and 16 TAC § 24.235 (a) through (c).</w:t>
      </w:r>
    </w:p>
    <w:p w:rsidR="00BA34DA" w:rsidRPr="007E408A" w:rsidRDefault="00BA34DA" w:rsidP="00BA34DA">
      <w:pPr>
        <w:pStyle w:val="COLNumbered"/>
        <w:rPr>
          <w:szCs w:val="24"/>
        </w:rPr>
      </w:pPr>
      <w:r w:rsidRPr="007E408A">
        <w:rPr>
          <w:szCs w:val="24"/>
        </w:rPr>
        <w:t>The application to amend Frognot’s CCN meets the requirements set forth in TWC §§ 13.241, 13.244, and 13.246 and 16 TAC §§ 24.225, 24.227, and 24.233 to be granted an amendment to its CCN.</w:t>
      </w:r>
    </w:p>
    <w:p w:rsidR="00285187" w:rsidRPr="007E408A" w:rsidRDefault="00306E34" w:rsidP="00285187">
      <w:pPr>
        <w:pStyle w:val="COLNumbered"/>
        <w:rPr>
          <w:szCs w:val="24"/>
        </w:rPr>
      </w:pPr>
      <w:r w:rsidRPr="007E408A">
        <w:rPr>
          <w:szCs w:val="24"/>
        </w:rPr>
        <w:t xml:space="preserve">After consideration of the factors in TWC § 13.246 (c), </w:t>
      </w:r>
      <w:r w:rsidR="00285187" w:rsidRPr="007E408A">
        <w:rPr>
          <w:szCs w:val="24"/>
        </w:rPr>
        <w:t xml:space="preserve">Frognot has adequate financial, managerial, and technical capability for providing continuous and adequate service to the proposed service-area additions and its current service area as required </w:t>
      </w:r>
      <w:r w:rsidR="003178E2" w:rsidRPr="007E408A">
        <w:rPr>
          <w:szCs w:val="24"/>
        </w:rPr>
        <w:t xml:space="preserve">for a CCN amendment </w:t>
      </w:r>
      <w:r w:rsidR="00285187" w:rsidRPr="007E408A">
        <w:rPr>
          <w:szCs w:val="24"/>
        </w:rPr>
        <w:t>by TWC §</w:t>
      </w:r>
      <w:r w:rsidRPr="007E408A">
        <w:rPr>
          <w:szCs w:val="24"/>
        </w:rPr>
        <w:t>§</w:t>
      </w:r>
      <w:r w:rsidR="00285187" w:rsidRPr="007E408A">
        <w:rPr>
          <w:szCs w:val="24"/>
        </w:rPr>
        <w:t xml:space="preserve"> 13.241</w:t>
      </w:r>
      <w:r w:rsidR="00BA34DA" w:rsidRPr="007E408A">
        <w:rPr>
          <w:szCs w:val="24"/>
        </w:rPr>
        <w:t>(a), (c)</w:t>
      </w:r>
      <w:r w:rsidR="00281669" w:rsidRPr="007E408A">
        <w:rPr>
          <w:szCs w:val="24"/>
        </w:rPr>
        <w:t>,</w:t>
      </w:r>
      <w:r w:rsidR="00BA34DA" w:rsidRPr="007E408A">
        <w:rPr>
          <w:szCs w:val="24"/>
        </w:rPr>
        <w:t xml:space="preserve"> (d)</w:t>
      </w:r>
      <w:r w:rsidRPr="007E408A">
        <w:rPr>
          <w:szCs w:val="24"/>
        </w:rPr>
        <w:t xml:space="preserve">, </w:t>
      </w:r>
      <w:r w:rsidR="00BA34DA" w:rsidRPr="007E408A">
        <w:rPr>
          <w:szCs w:val="24"/>
        </w:rPr>
        <w:t xml:space="preserve">13.301(b), </w:t>
      </w:r>
      <w:r w:rsidR="00281669" w:rsidRPr="007E408A">
        <w:rPr>
          <w:szCs w:val="24"/>
        </w:rPr>
        <w:t xml:space="preserve">and </w:t>
      </w:r>
      <w:r w:rsidRPr="007E408A">
        <w:rPr>
          <w:szCs w:val="24"/>
        </w:rPr>
        <w:t>13.251</w:t>
      </w:r>
      <w:r w:rsidR="00281669" w:rsidRPr="007E408A">
        <w:rPr>
          <w:szCs w:val="24"/>
        </w:rPr>
        <w:t xml:space="preserve"> and 16 TAC §§ </w:t>
      </w:r>
      <w:r w:rsidR="00285187" w:rsidRPr="007E408A">
        <w:rPr>
          <w:szCs w:val="24"/>
        </w:rPr>
        <w:t>24.227(a)</w:t>
      </w:r>
      <w:r w:rsidR="00BA34DA" w:rsidRPr="007E408A">
        <w:rPr>
          <w:szCs w:val="24"/>
        </w:rPr>
        <w:t xml:space="preserve"> and 24.239(g)</w:t>
      </w:r>
      <w:r w:rsidR="00285187" w:rsidRPr="007E408A">
        <w:rPr>
          <w:szCs w:val="24"/>
        </w:rPr>
        <w:t>.</w:t>
      </w:r>
    </w:p>
    <w:p w:rsidR="00285187" w:rsidRPr="007E408A" w:rsidRDefault="00285187" w:rsidP="00285187">
      <w:pPr>
        <w:pStyle w:val="COLNumbered"/>
        <w:rPr>
          <w:szCs w:val="24"/>
        </w:rPr>
      </w:pPr>
      <w:r w:rsidRPr="007E408A">
        <w:rPr>
          <w:szCs w:val="24"/>
        </w:rPr>
        <w:lastRenderedPageBreak/>
        <w:t>The amendment to CCN num</w:t>
      </w:r>
      <w:r w:rsidR="00B167EF" w:rsidRPr="007E408A">
        <w:rPr>
          <w:szCs w:val="24"/>
        </w:rPr>
        <w:t>ber 10164</w:t>
      </w:r>
      <w:r w:rsidRPr="007E408A">
        <w:rPr>
          <w:szCs w:val="24"/>
        </w:rPr>
        <w:t xml:space="preserve"> is necessary for the service, accommodation, convenience, or safety of the public as required by TWC § 13.246(b) and 16 TAC § 24.227(c).</w:t>
      </w:r>
    </w:p>
    <w:p w:rsidR="00BA34DA" w:rsidRPr="007E408A" w:rsidRDefault="00BA34DA" w:rsidP="00BA34DA">
      <w:pPr>
        <w:pStyle w:val="COLNumbered"/>
        <w:rPr>
          <w:szCs w:val="24"/>
        </w:rPr>
      </w:pPr>
      <w:r w:rsidRPr="007E408A">
        <w:rPr>
          <w:szCs w:val="24"/>
        </w:rPr>
        <w:t>Public notice of the application for sale, transfer, or merger was provided as required by TWC § 13.301(a</w:t>
      </w:r>
      <w:proofErr w:type="gramStart"/>
      <w:r w:rsidRPr="007E408A">
        <w:rPr>
          <w:szCs w:val="24"/>
        </w:rPr>
        <w:t>)(</w:t>
      </w:r>
      <w:proofErr w:type="gramEnd"/>
      <w:r w:rsidRPr="007E408A">
        <w:rPr>
          <w:szCs w:val="24"/>
        </w:rPr>
        <w:t>2) and 16 TAC § 24.239(a) through (f).</w:t>
      </w:r>
    </w:p>
    <w:p w:rsidR="00AD6FBE" w:rsidRPr="007E408A" w:rsidRDefault="00310E5C" w:rsidP="00AD6FBE">
      <w:pPr>
        <w:pStyle w:val="COLNumbered"/>
        <w:rPr>
          <w:szCs w:val="24"/>
        </w:rPr>
      </w:pPr>
      <w:r w:rsidRPr="007E408A">
        <w:rPr>
          <w:szCs w:val="24"/>
        </w:rPr>
        <w:t>Frognot</w:t>
      </w:r>
      <w:r w:rsidR="00AD6FBE" w:rsidRPr="007E408A">
        <w:rPr>
          <w:szCs w:val="24"/>
        </w:rPr>
        <w:t xml:space="preserve"> and </w:t>
      </w:r>
      <w:r w:rsidRPr="007E408A">
        <w:rPr>
          <w:szCs w:val="24"/>
        </w:rPr>
        <w:t>North Farmersville</w:t>
      </w:r>
      <w:r w:rsidR="00AD6FBE" w:rsidRPr="007E408A">
        <w:rPr>
          <w:szCs w:val="24"/>
        </w:rPr>
        <w:t xml:space="preserve"> completed the sale within the time </w:t>
      </w:r>
      <w:r w:rsidR="001D3B44" w:rsidRPr="007E408A">
        <w:rPr>
          <w:szCs w:val="24"/>
        </w:rPr>
        <w:t>required by</w:t>
      </w:r>
      <w:r w:rsidR="00AD6FBE" w:rsidRPr="007E408A">
        <w:rPr>
          <w:szCs w:val="24"/>
        </w:rPr>
        <w:t xml:space="preserve"> 16 TAC §</w:t>
      </w:r>
      <w:r w:rsidR="001D3B44" w:rsidRPr="007E408A">
        <w:rPr>
          <w:szCs w:val="24"/>
        </w:rPr>
        <w:t> </w:t>
      </w:r>
      <w:r w:rsidR="00AD6FBE" w:rsidRPr="007E408A">
        <w:rPr>
          <w:szCs w:val="24"/>
        </w:rPr>
        <w:t>24.239(o).</w:t>
      </w:r>
    </w:p>
    <w:p w:rsidR="000736C1" w:rsidRPr="007E408A" w:rsidRDefault="0061404E" w:rsidP="000736C1">
      <w:pPr>
        <w:pStyle w:val="COLNumbered"/>
        <w:rPr>
          <w:szCs w:val="24"/>
        </w:rPr>
      </w:pPr>
      <w:r w:rsidRPr="007E408A">
        <w:rPr>
          <w:szCs w:val="24"/>
        </w:rPr>
        <w:t>Frognot and North Farmersville</w:t>
      </w:r>
      <w:r w:rsidR="000736C1" w:rsidRPr="007E408A">
        <w:rPr>
          <w:szCs w:val="24"/>
        </w:rPr>
        <w:t xml:space="preserve"> have demonstrated that the sale </w:t>
      </w:r>
      <w:r w:rsidR="001D3B44" w:rsidRPr="007E408A">
        <w:rPr>
          <w:szCs w:val="24"/>
        </w:rPr>
        <w:t xml:space="preserve">of </w:t>
      </w:r>
      <w:r w:rsidRPr="007E408A">
        <w:rPr>
          <w:szCs w:val="24"/>
        </w:rPr>
        <w:t>North Farmersville</w:t>
      </w:r>
      <w:r w:rsidR="001D3B44" w:rsidRPr="007E408A">
        <w:rPr>
          <w:szCs w:val="24"/>
        </w:rPr>
        <w:t>’s water systems</w:t>
      </w:r>
      <w:r w:rsidR="000736C1" w:rsidRPr="007E408A">
        <w:rPr>
          <w:szCs w:val="24"/>
        </w:rPr>
        <w:t xml:space="preserve"> and the </w:t>
      </w:r>
      <w:r w:rsidR="001D3B44" w:rsidRPr="007E408A">
        <w:rPr>
          <w:szCs w:val="24"/>
        </w:rPr>
        <w:t xml:space="preserve">amendment of </w:t>
      </w:r>
      <w:r w:rsidRPr="007E408A">
        <w:rPr>
          <w:szCs w:val="24"/>
        </w:rPr>
        <w:t>Frognot’s</w:t>
      </w:r>
      <w:r w:rsidR="000736C1" w:rsidRPr="007E408A">
        <w:rPr>
          <w:szCs w:val="24"/>
        </w:rPr>
        <w:t xml:space="preserve"> CCN </w:t>
      </w:r>
      <w:r w:rsidR="008F7C5E" w:rsidRPr="007E408A">
        <w:rPr>
          <w:szCs w:val="24"/>
        </w:rPr>
        <w:t xml:space="preserve">to add the dually certificated areas within North Farmersville, West Leonard and Caddo Basin’s CCNs </w:t>
      </w:r>
      <w:r w:rsidR="001D3B44" w:rsidRPr="007E408A">
        <w:rPr>
          <w:szCs w:val="24"/>
        </w:rPr>
        <w:t>will serve the public interest and are</w:t>
      </w:r>
      <w:r w:rsidR="000736C1" w:rsidRPr="007E408A">
        <w:rPr>
          <w:szCs w:val="24"/>
        </w:rPr>
        <w:t xml:space="preserve"> necessary for the service, accommodation, convenience, or safety of the public.</w:t>
      </w:r>
      <w:r w:rsidR="001D3B44" w:rsidRPr="007E408A">
        <w:rPr>
          <w:szCs w:val="24"/>
        </w:rPr>
        <w:t xml:space="preserve">  TWC §§ 13.301(d), </w:t>
      </w:r>
      <w:r w:rsidR="002D59C0" w:rsidRPr="007E408A">
        <w:rPr>
          <w:szCs w:val="24"/>
        </w:rPr>
        <w:t>13.246(b).</w:t>
      </w:r>
    </w:p>
    <w:p w:rsidR="00C73ADF" w:rsidRPr="007E408A" w:rsidRDefault="00C73ADF" w:rsidP="000736C1">
      <w:pPr>
        <w:pStyle w:val="COLNumbered"/>
        <w:rPr>
          <w:szCs w:val="24"/>
        </w:rPr>
      </w:pPr>
      <w:r w:rsidRPr="007E408A">
        <w:rPr>
          <w:szCs w:val="24"/>
        </w:rPr>
        <w:t xml:space="preserve">A sale not completed in accordance with TWC § 13.301 is void.  TWC </w:t>
      </w:r>
      <w:r w:rsidR="00CD0072" w:rsidRPr="007E408A">
        <w:rPr>
          <w:szCs w:val="24"/>
        </w:rPr>
        <w:t xml:space="preserve">§ </w:t>
      </w:r>
      <w:r w:rsidRPr="007E408A">
        <w:rPr>
          <w:szCs w:val="24"/>
        </w:rPr>
        <w:t>13.301(h).</w:t>
      </w:r>
    </w:p>
    <w:p w:rsidR="00AD6FBE" w:rsidRPr="007E408A" w:rsidRDefault="0031404F" w:rsidP="00AD6FBE">
      <w:pPr>
        <w:pStyle w:val="COLNumbered"/>
        <w:rPr>
          <w:szCs w:val="24"/>
        </w:rPr>
      </w:pPr>
      <w:r w:rsidRPr="007E408A">
        <w:rPr>
          <w:szCs w:val="24"/>
        </w:rPr>
        <w:t>Frognot</w:t>
      </w:r>
      <w:r w:rsidR="00AD6FBE" w:rsidRPr="007E408A">
        <w:rPr>
          <w:szCs w:val="24"/>
        </w:rPr>
        <w:t xml:space="preserve"> </w:t>
      </w:r>
      <w:r w:rsidR="00332562" w:rsidRPr="007E408A">
        <w:rPr>
          <w:szCs w:val="24"/>
        </w:rPr>
        <w:t>must</w:t>
      </w:r>
      <w:r w:rsidR="00AD6FBE" w:rsidRPr="007E408A">
        <w:rPr>
          <w:szCs w:val="24"/>
        </w:rPr>
        <w:t xml:space="preserve"> record a certified copy of the </w:t>
      </w:r>
      <w:r w:rsidR="00310E5C" w:rsidRPr="007E408A">
        <w:rPr>
          <w:szCs w:val="24"/>
        </w:rPr>
        <w:t xml:space="preserve">certificate granted and maps </w:t>
      </w:r>
      <w:r w:rsidR="00571FA4" w:rsidRPr="007E408A">
        <w:rPr>
          <w:szCs w:val="24"/>
        </w:rPr>
        <w:t xml:space="preserve">approved </w:t>
      </w:r>
      <w:r w:rsidR="00310E5C" w:rsidRPr="007E408A">
        <w:rPr>
          <w:szCs w:val="24"/>
        </w:rPr>
        <w:t>by this Notice`</w:t>
      </w:r>
      <w:r w:rsidRPr="007E408A">
        <w:rPr>
          <w:szCs w:val="24"/>
        </w:rPr>
        <w:t xml:space="preserve">, along </w:t>
      </w:r>
      <w:r w:rsidR="00AD6FBE" w:rsidRPr="007E408A">
        <w:rPr>
          <w:szCs w:val="24"/>
        </w:rPr>
        <w:t xml:space="preserve">with a boundary description of the service area, in the real property records of </w:t>
      </w:r>
      <w:r w:rsidRPr="007E408A">
        <w:rPr>
          <w:szCs w:val="24"/>
        </w:rPr>
        <w:t>Hunt, Collin, and Fannin counties</w:t>
      </w:r>
      <w:r w:rsidR="00332562" w:rsidRPr="007E408A">
        <w:rPr>
          <w:szCs w:val="24"/>
        </w:rPr>
        <w:t xml:space="preserve"> within 31 days of receiving this Notice</w:t>
      </w:r>
      <w:r w:rsidR="00F44D97" w:rsidRPr="007E408A">
        <w:rPr>
          <w:szCs w:val="24"/>
        </w:rPr>
        <w:t xml:space="preserve"> and submit to the Commission evidence of the recording</w:t>
      </w:r>
      <w:r w:rsidR="00AD6FBE" w:rsidRPr="007E408A">
        <w:rPr>
          <w:szCs w:val="24"/>
        </w:rPr>
        <w:t>.</w:t>
      </w:r>
      <w:r w:rsidR="007577F5" w:rsidRPr="007E408A">
        <w:rPr>
          <w:szCs w:val="24"/>
        </w:rPr>
        <w:t xml:space="preserve">  TWC § 13.257(r)</w:t>
      </w:r>
      <w:r w:rsidR="00F44D97" w:rsidRPr="007E408A">
        <w:rPr>
          <w:szCs w:val="24"/>
        </w:rPr>
        <w:t>, (s)</w:t>
      </w:r>
      <w:r w:rsidR="007577F5" w:rsidRPr="007E408A">
        <w:rPr>
          <w:szCs w:val="24"/>
        </w:rPr>
        <w:t>.</w:t>
      </w:r>
    </w:p>
    <w:p w:rsidR="00AD6FBE" w:rsidRPr="007E408A" w:rsidRDefault="00AD6FBE" w:rsidP="00AD6FBE">
      <w:pPr>
        <w:pStyle w:val="COLNumbered"/>
        <w:rPr>
          <w:szCs w:val="24"/>
        </w:rPr>
      </w:pPr>
      <w:r w:rsidRPr="007E408A">
        <w:rPr>
          <w:szCs w:val="24"/>
        </w:rPr>
        <w:t>The requirements for informal disposition under 16 TAC §</w:t>
      </w:r>
      <w:r w:rsidR="002D59C0" w:rsidRPr="007E408A">
        <w:rPr>
          <w:szCs w:val="24"/>
        </w:rPr>
        <w:t> </w:t>
      </w:r>
      <w:r w:rsidRPr="007E408A">
        <w:rPr>
          <w:szCs w:val="24"/>
        </w:rPr>
        <w:t>22.35 have been met in this proceeding.</w:t>
      </w:r>
    </w:p>
    <w:p w:rsidR="00AD6FBE" w:rsidRPr="007E408A" w:rsidRDefault="00AD6FBE" w:rsidP="00AD6FBE">
      <w:pPr>
        <w:pStyle w:val="Heading1"/>
        <w:rPr>
          <w:rFonts w:cs="Times New Roman"/>
          <w:szCs w:val="24"/>
        </w:rPr>
      </w:pPr>
      <w:r w:rsidRPr="007E408A">
        <w:rPr>
          <w:rFonts w:cs="Times New Roman"/>
          <w:szCs w:val="24"/>
        </w:rPr>
        <w:t>Ordering Paragraphs</w:t>
      </w:r>
    </w:p>
    <w:p w:rsidR="00AD6FBE" w:rsidRPr="007E408A" w:rsidRDefault="00AD6FBE" w:rsidP="00426C57">
      <w:pPr>
        <w:pStyle w:val="BodyText"/>
      </w:pPr>
      <w:r w:rsidRPr="007E408A">
        <w:t>In accordance with these findings of fact and conclusions of law, the Commission issues the following orders:</w:t>
      </w:r>
    </w:p>
    <w:p w:rsidR="00AD6FBE" w:rsidRPr="007E408A" w:rsidRDefault="00AD6FBE" w:rsidP="00D80038">
      <w:pPr>
        <w:pStyle w:val="OrderingParagraph"/>
        <w:rPr>
          <w:szCs w:val="24"/>
        </w:rPr>
      </w:pPr>
      <w:r w:rsidRPr="007E408A">
        <w:rPr>
          <w:szCs w:val="24"/>
        </w:rPr>
        <w:t xml:space="preserve">The Commission approves </w:t>
      </w:r>
      <w:r w:rsidR="00281669" w:rsidRPr="007E408A">
        <w:rPr>
          <w:szCs w:val="24"/>
        </w:rPr>
        <w:t>Frognot’s</w:t>
      </w:r>
      <w:r w:rsidRPr="007E408A">
        <w:rPr>
          <w:szCs w:val="24"/>
        </w:rPr>
        <w:t xml:space="preserve"> </w:t>
      </w:r>
      <w:r w:rsidR="00FD6465" w:rsidRPr="007E408A">
        <w:rPr>
          <w:szCs w:val="24"/>
        </w:rPr>
        <w:t>purchase</w:t>
      </w:r>
      <w:r w:rsidRPr="007E408A">
        <w:rPr>
          <w:szCs w:val="24"/>
        </w:rPr>
        <w:t xml:space="preserve"> </w:t>
      </w:r>
      <w:r w:rsidR="00D80038" w:rsidRPr="007E408A">
        <w:rPr>
          <w:szCs w:val="24"/>
        </w:rPr>
        <w:t xml:space="preserve">of </w:t>
      </w:r>
      <w:r w:rsidR="00065750" w:rsidRPr="007E408A">
        <w:rPr>
          <w:szCs w:val="24"/>
        </w:rPr>
        <w:t xml:space="preserve">the portion of </w:t>
      </w:r>
      <w:r w:rsidR="00281669" w:rsidRPr="007E408A">
        <w:rPr>
          <w:szCs w:val="24"/>
        </w:rPr>
        <w:t>North Farmersville’s</w:t>
      </w:r>
      <w:r w:rsidR="00065750" w:rsidRPr="007E408A">
        <w:rPr>
          <w:szCs w:val="24"/>
        </w:rPr>
        <w:t xml:space="preserve"> water system</w:t>
      </w:r>
      <w:r w:rsidR="00FD6465" w:rsidRPr="007E408A">
        <w:rPr>
          <w:szCs w:val="24"/>
        </w:rPr>
        <w:t xml:space="preserve"> identified in this Notice</w:t>
      </w:r>
      <w:r w:rsidR="00E83DFD" w:rsidRPr="007E408A">
        <w:rPr>
          <w:szCs w:val="24"/>
        </w:rPr>
        <w:t xml:space="preserve"> </w:t>
      </w:r>
      <w:r w:rsidR="009E1FA3" w:rsidRPr="007E408A">
        <w:rPr>
          <w:szCs w:val="24"/>
        </w:rPr>
        <w:t xml:space="preserve">of Approval </w:t>
      </w:r>
      <w:r w:rsidR="00E83DFD" w:rsidRPr="007E408A">
        <w:rPr>
          <w:szCs w:val="24"/>
        </w:rPr>
        <w:t>and operated under water CCN 12363</w:t>
      </w:r>
      <w:r w:rsidR="00065750" w:rsidRPr="007E408A">
        <w:rPr>
          <w:szCs w:val="24"/>
        </w:rPr>
        <w:t>.</w:t>
      </w:r>
      <w:r w:rsidR="00FD6465" w:rsidRPr="007E408A">
        <w:rPr>
          <w:szCs w:val="24"/>
        </w:rPr>
        <w:t xml:space="preserve"> </w:t>
      </w:r>
    </w:p>
    <w:p w:rsidR="00D80038" w:rsidRPr="007E408A" w:rsidRDefault="00AD6FBE" w:rsidP="00AD6FBE">
      <w:pPr>
        <w:pStyle w:val="OrderingParagraph"/>
        <w:rPr>
          <w:szCs w:val="24"/>
        </w:rPr>
      </w:pPr>
      <w:r w:rsidRPr="007E408A">
        <w:rPr>
          <w:szCs w:val="24"/>
        </w:rPr>
        <w:t xml:space="preserve">The Commission amends </w:t>
      </w:r>
      <w:r w:rsidR="00403E0E" w:rsidRPr="007E408A">
        <w:rPr>
          <w:szCs w:val="24"/>
        </w:rPr>
        <w:t>Frognot</w:t>
      </w:r>
      <w:r w:rsidRPr="007E408A">
        <w:rPr>
          <w:szCs w:val="24"/>
        </w:rPr>
        <w:t>’s certificate number 1</w:t>
      </w:r>
      <w:r w:rsidR="00403E0E" w:rsidRPr="007E408A">
        <w:rPr>
          <w:szCs w:val="24"/>
        </w:rPr>
        <w:t>0164</w:t>
      </w:r>
      <w:r w:rsidRPr="007E408A">
        <w:rPr>
          <w:szCs w:val="24"/>
        </w:rPr>
        <w:t xml:space="preserve"> to include </w:t>
      </w:r>
      <w:r w:rsidR="00A73652" w:rsidRPr="007E408A">
        <w:rPr>
          <w:szCs w:val="24"/>
        </w:rPr>
        <w:t xml:space="preserve">dual certification of </w:t>
      </w:r>
      <w:r w:rsidR="00065750" w:rsidRPr="007E408A">
        <w:rPr>
          <w:szCs w:val="24"/>
        </w:rPr>
        <w:t xml:space="preserve">portions of the service areas of North Farmersville (CCN number 12363), Caddo Basin Special Utility District (CCN number 10165), and West Leonard Water Supply </w:t>
      </w:r>
      <w:r w:rsidR="00065750" w:rsidRPr="007E408A">
        <w:rPr>
          <w:szCs w:val="24"/>
        </w:rPr>
        <w:lastRenderedPageBreak/>
        <w:t>Corporation (CCN number 10157)</w:t>
      </w:r>
      <w:r w:rsidRPr="007E408A">
        <w:rPr>
          <w:szCs w:val="24"/>
        </w:rPr>
        <w:t xml:space="preserve"> </w:t>
      </w:r>
      <w:r w:rsidR="00403E0E" w:rsidRPr="007E408A">
        <w:rPr>
          <w:szCs w:val="24"/>
        </w:rPr>
        <w:t xml:space="preserve">as </w:t>
      </w:r>
      <w:r w:rsidR="00D80038" w:rsidRPr="007E408A">
        <w:rPr>
          <w:szCs w:val="24"/>
        </w:rPr>
        <w:t>described</w:t>
      </w:r>
      <w:r w:rsidRPr="007E408A">
        <w:rPr>
          <w:szCs w:val="24"/>
        </w:rPr>
        <w:t xml:space="preserve"> </w:t>
      </w:r>
      <w:r w:rsidR="00403E0E" w:rsidRPr="007E408A">
        <w:rPr>
          <w:szCs w:val="24"/>
        </w:rPr>
        <w:t>in</w:t>
      </w:r>
      <w:r w:rsidRPr="007E408A">
        <w:rPr>
          <w:szCs w:val="24"/>
        </w:rPr>
        <w:t xml:space="preserve"> this </w:t>
      </w:r>
      <w:r w:rsidR="00225EFE" w:rsidRPr="007E408A">
        <w:rPr>
          <w:szCs w:val="24"/>
        </w:rPr>
        <w:t>Notice</w:t>
      </w:r>
      <w:r w:rsidR="009E1FA3" w:rsidRPr="007E408A">
        <w:rPr>
          <w:szCs w:val="24"/>
        </w:rPr>
        <w:t xml:space="preserve"> of Approval </w:t>
      </w:r>
      <w:r w:rsidR="00672338" w:rsidRPr="007E408A">
        <w:rPr>
          <w:szCs w:val="24"/>
        </w:rPr>
        <w:t>and</w:t>
      </w:r>
      <w:r w:rsidR="00403E0E" w:rsidRPr="007E408A">
        <w:rPr>
          <w:szCs w:val="24"/>
        </w:rPr>
        <w:t xml:space="preserve"> shown on the map</w:t>
      </w:r>
      <w:r w:rsidR="00D80038" w:rsidRPr="007E408A">
        <w:rPr>
          <w:szCs w:val="24"/>
        </w:rPr>
        <w:t xml:space="preserve"> attached to this Notice.</w:t>
      </w:r>
    </w:p>
    <w:p w:rsidR="00AD6FBE" w:rsidRPr="007E408A" w:rsidRDefault="00D80038" w:rsidP="00AD6FBE">
      <w:pPr>
        <w:pStyle w:val="OrderingParagraph"/>
        <w:rPr>
          <w:szCs w:val="24"/>
        </w:rPr>
      </w:pPr>
      <w:r w:rsidRPr="007E408A">
        <w:rPr>
          <w:szCs w:val="24"/>
        </w:rPr>
        <w:t>The Commission grants the certificate</w:t>
      </w:r>
      <w:r w:rsidR="00AD6FBE" w:rsidRPr="007E408A">
        <w:rPr>
          <w:szCs w:val="24"/>
        </w:rPr>
        <w:t xml:space="preserve"> attached to this Notice</w:t>
      </w:r>
      <w:r w:rsidR="009E1FA3" w:rsidRPr="007E408A">
        <w:rPr>
          <w:szCs w:val="24"/>
        </w:rPr>
        <w:t xml:space="preserve"> of Approval</w:t>
      </w:r>
      <w:r w:rsidR="00AD6FBE" w:rsidRPr="007E408A">
        <w:rPr>
          <w:szCs w:val="24"/>
        </w:rPr>
        <w:t>.</w:t>
      </w:r>
    </w:p>
    <w:p w:rsidR="00AD6FBE" w:rsidRPr="007E408A" w:rsidRDefault="00A73652" w:rsidP="00AD6FBE">
      <w:pPr>
        <w:pStyle w:val="OrderingParagraph"/>
        <w:rPr>
          <w:szCs w:val="24"/>
        </w:rPr>
      </w:pPr>
      <w:r w:rsidRPr="007E408A">
        <w:rPr>
          <w:szCs w:val="24"/>
        </w:rPr>
        <w:t>Frognot</w:t>
      </w:r>
      <w:r w:rsidR="00AD6FBE" w:rsidRPr="007E408A">
        <w:rPr>
          <w:szCs w:val="24"/>
        </w:rPr>
        <w:t xml:space="preserve"> must serve every customer and applicant for service within </w:t>
      </w:r>
      <w:r w:rsidRPr="007E408A">
        <w:rPr>
          <w:szCs w:val="24"/>
        </w:rPr>
        <w:t>its approved dually certificated</w:t>
      </w:r>
      <w:r w:rsidR="00AD6FBE" w:rsidRPr="007E408A">
        <w:rPr>
          <w:szCs w:val="24"/>
        </w:rPr>
        <w:t xml:space="preserve"> area under water CCN number </w:t>
      </w:r>
      <w:r w:rsidRPr="007E408A">
        <w:rPr>
          <w:szCs w:val="24"/>
        </w:rPr>
        <w:t>12363</w:t>
      </w:r>
      <w:r w:rsidR="00AD6FBE" w:rsidRPr="007E408A">
        <w:rPr>
          <w:szCs w:val="24"/>
        </w:rPr>
        <w:t xml:space="preserve"> that requests water service and meets the terms of </w:t>
      </w:r>
      <w:r w:rsidRPr="007E408A">
        <w:rPr>
          <w:szCs w:val="24"/>
        </w:rPr>
        <w:t>Frognot</w:t>
      </w:r>
      <w:r w:rsidR="00AD6FBE" w:rsidRPr="007E408A">
        <w:rPr>
          <w:szCs w:val="24"/>
        </w:rPr>
        <w:t xml:space="preserve">’s water service, and such service </w:t>
      </w:r>
      <w:r w:rsidR="007E408A" w:rsidRPr="007E408A">
        <w:rPr>
          <w:szCs w:val="24"/>
        </w:rPr>
        <w:t xml:space="preserve">must </w:t>
      </w:r>
      <w:r w:rsidR="00AD6FBE" w:rsidRPr="007E408A">
        <w:rPr>
          <w:szCs w:val="24"/>
        </w:rPr>
        <w:t>be continuous and adequate.</w:t>
      </w:r>
    </w:p>
    <w:p w:rsidR="00F44D97" w:rsidRPr="007E408A" w:rsidRDefault="00403E0E" w:rsidP="00AD6FBE">
      <w:pPr>
        <w:pStyle w:val="OrderingParagraph"/>
        <w:rPr>
          <w:szCs w:val="24"/>
        </w:rPr>
      </w:pPr>
      <w:r w:rsidRPr="007E408A">
        <w:rPr>
          <w:szCs w:val="24"/>
        </w:rPr>
        <w:t>Frognot</w:t>
      </w:r>
      <w:r w:rsidR="00AD6FBE" w:rsidRPr="007E408A">
        <w:rPr>
          <w:szCs w:val="24"/>
        </w:rPr>
        <w:t xml:space="preserve"> must comply with the recording requirements in TWC § 13.257(r) and (s) for the areas in </w:t>
      </w:r>
      <w:r w:rsidR="00552030" w:rsidRPr="007E408A">
        <w:rPr>
          <w:szCs w:val="24"/>
        </w:rPr>
        <w:t xml:space="preserve">Hunt, Collin, and Fannin </w:t>
      </w:r>
      <w:r w:rsidR="00AD6FBE" w:rsidRPr="007E408A">
        <w:rPr>
          <w:szCs w:val="24"/>
        </w:rPr>
        <w:t>Counties affected by the application</w:t>
      </w:r>
      <w:r w:rsidR="00F44D97" w:rsidRPr="007E408A">
        <w:rPr>
          <w:szCs w:val="24"/>
        </w:rPr>
        <w:t xml:space="preserve">.  </w:t>
      </w:r>
    </w:p>
    <w:p w:rsidR="00AD6FBE" w:rsidRPr="007E408A" w:rsidRDefault="00552030" w:rsidP="00AD6FBE">
      <w:pPr>
        <w:pStyle w:val="OrderingParagraph"/>
        <w:rPr>
          <w:szCs w:val="24"/>
        </w:rPr>
      </w:pPr>
      <w:r w:rsidRPr="007E408A">
        <w:rPr>
          <w:szCs w:val="24"/>
        </w:rPr>
        <w:t>Frognot</w:t>
      </w:r>
      <w:r w:rsidR="00AD6FBE" w:rsidRPr="007E408A">
        <w:rPr>
          <w:szCs w:val="24"/>
        </w:rPr>
        <w:t xml:space="preserve"> must </w:t>
      </w:r>
      <w:r w:rsidR="003B1708" w:rsidRPr="007E408A">
        <w:rPr>
          <w:szCs w:val="24"/>
        </w:rPr>
        <w:t>submit to the Commission evidence</w:t>
      </w:r>
      <w:r w:rsidRPr="007E408A">
        <w:rPr>
          <w:szCs w:val="24"/>
        </w:rPr>
        <w:t xml:space="preserve"> of </w:t>
      </w:r>
      <w:r w:rsidR="00186659" w:rsidRPr="007E408A">
        <w:rPr>
          <w:szCs w:val="24"/>
        </w:rPr>
        <w:t xml:space="preserve">the recording </w:t>
      </w:r>
      <w:r w:rsidR="003B1708" w:rsidRPr="007E408A">
        <w:rPr>
          <w:szCs w:val="24"/>
        </w:rPr>
        <w:t>no later than</w:t>
      </w:r>
      <w:r w:rsidR="007E408A" w:rsidRPr="007E408A">
        <w:rPr>
          <w:szCs w:val="24"/>
        </w:rPr>
        <w:t xml:space="preserve"> </w:t>
      </w:r>
      <w:r w:rsidR="003B1708" w:rsidRPr="007E408A">
        <w:rPr>
          <w:szCs w:val="24"/>
        </w:rPr>
        <w:t xml:space="preserve">30 days after the recording </w:t>
      </w:r>
      <w:r w:rsidR="00186659" w:rsidRPr="007E408A">
        <w:rPr>
          <w:szCs w:val="24"/>
        </w:rPr>
        <w:t xml:space="preserve">required </w:t>
      </w:r>
      <w:r w:rsidR="003B1708" w:rsidRPr="007E408A">
        <w:rPr>
          <w:szCs w:val="24"/>
        </w:rPr>
        <w:t>by</w:t>
      </w:r>
      <w:r w:rsidR="00186659" w:rsidRPr="007E408A">
        <w:rPr>
          <w:szCs w:val="24"/>
        </w:rPr>
        <w:t xml:space="preserve"> ordering paragraph </w:t>
      </w:r>
      <w:r w:rsidR="0038531C" w:rsidRPr="007E408A">
        <w:rPr>
          <w:szCs w:val="24"/>
        </w:rPr>
        <w:t>5</w:t>
      </w:r>
      <w:r w:rsidR="003B1708" w:rsidRPr="007E408A">
        <w:rPr>
          <w:szCs w:val="24"/>
        </w:rPr>
        <w:t>.</w:t>
      </w:r>
      <w:r w:rsidR="0031404F" w:rsidRPr="007E408A">
        <w:rPr>
          <w:szCs w:val="24"/>
        </w:rPr>
        <w:t xml:space="preserve"> </w:t>
      </w:r>
    </w:p>
    <w:p w:rsidR="009E1FA3" w:rsidRPr="007E408A" w:rsidRDefault="00AD6FBE" w:rsidP="009E1FA3">
      <w:pPr>
        <w:pStyle w:val="OrderingParagraph"/>
        <w:rPr>
          <w:szCs w:val="24"/>
        </w:rPr>
      </w:pPr>
      <w:r w:rsidRPr="007E408A">
        <w:rPr>
          <w:szCs w:val="24"/>
        </w:rPr>
        <w:t>The Commission denies all other motions and any other requests for general or specific relief, if not expressly granted.</w:t>
      </w:r>
    </w:p>
    <w:p w:rsidR="009E1FA3" w:rsidRPr="007E408A" w:rsidRDefault="009E1FA3" w:rsidP="00160DCD">
      <w:pPr>
        <w:pStyle w:val="Dateline"/>
      </w:pPr>
    </w:p>
    <w:p w:rsidR="00160DCD" w:rsidRPr="007E408A" w:rsidRDefault="00160DCD" w:rsidP="00160DCD">
      <w:pPr>
        <w:pStyle w:val="Dateline"/>
      </w:pPr>
      <w:r w:rsidRPr="007E408A">
        <w:t xml:space="preserve">Signed at Austin, Texas the ______ day of </w:t>
      </w:r>
      <w:r w:rsidR="00997E22" w:rsidRPr="007E408A">
        <w:t xml:space="preserve">July </w:t>
      </w:r>
      <w:r w:rsidRPr="007E408A">
        <w:t>201</w:t>
      </w:r>
      <w:r w:rsidR="00AD6FBE" w:rsidRPr="007E408A">
        <w:t>9</w:t>
      </w:r>
      <w:r w:rsidR="008D1724" w:rsidRPr="007E408A">
        <w:t>.</w:t>
      </w:r>
    </w:p>
    <w:p w:rsidR="00160DCD" w:rsidRPr="007E408A" w:rsidRDefault="00160DCD" w:rsidP="00160DCD">
      <w:pPr>
        <w:pStyle w:val="Dateline"/>
      </w:pPr>
    </w:p>
    <w:p w:rsidR="008D1724" w:rsidRPr="007E408A" w:rsidRDefault="008D1724" w:rsidP="00160DCD">
      <w:pPr>
        <w:pStyle w:val="Dateline"/>
      </w:pPr>
    </w:p>
    <w:p w:rsidR="00160DCD" w:rsidRPr="007E408A" w:rsidRDefault="00160DCD" w:rsidP="00D80038">
      <w:pPr>
        <w:pStyle w:val="Signatures"/>
        <w:keepNext/>
      </w:pPr>
      <w:r w:rsidRPr="007E408A">
        <w:t>_______________________________________</w:t>
      </w:r>
    </w:p>
    <w:p w:rsidR="00160DCD" w:rsidRPr="007E408A" w:rsidRDefault="00997E22" w:rsidP="00D80038">
      <w:pPr>
        <w:pStyle w:val="Signatures"/>
        <w:keepNext/>
      </w:pPr>
      <w:r w:rsidRPr="007E408A">
        <w:t>MAYSON PEARSON</w:t>
      </w:r>
    </w:p>
    <w:p w:rsidR="00160DCD" w:rsidRPr="007E408A" w:rsidRDefault="00997E22" w:rsidP="00160DCD">
      <w:pPr>
        <w:pStyle w:val="Signatures"/>
      </w:pPr>
      <w:r w:rsidRPr="007E408A">
        <w:t>ADMINISTRATIVE LAW JUDGE</w:t>
      </w:r>
    </w:p>
    <w:p w:rsidR="00F50497" w:rsidRPr="007E408A" w:rsidRDefault="00F50497" w:rsidP="0062202F">
      <w:pPr>
        <w:pStyle w:val="EndMatter"/>
      </w:pPr>
    </w:p>
    <w:p w:rsidR="00F50497" w:rsidRPr="007E408A" w:rsidRDefault="00F50497" w:rsidP="0062202F">
      <w:pPr>
        <w:pStyle w:val="EndMatter"/>
      </w:pPr>
    </w:p>
    <w:p w:rsidR="00F50497" w:rsidRPr="007E408A" w:rsidRDefault="00F50497" w:rsidP="0062202F">
      <w:pPr>
        <w:pStyle w:val="EndMatter"/>
      </w:pPr>
    </w:p>
    <w:p w:rsidR="00F50497" w:rsidRPr="007E408A" w:rsidRDefault="00F50497" w:rsidP="0062202F">
      <w:pPr>
        <w:pStyle w:val="EndMatter"/>
      </w:pPr>
    </w:p>
    <w:p w:rsidR="00FE4318" w:rsidRPr="007E408A" w:rsidRDefault="00FE4318" w:rsidP="0062202F">
      <w:pPr>
        <w:pStyle w:val="EndMatter"/>
      </w:pPr>
      <w:r w:rsidRPr="007E408A">
        <w:t>W2013</w:t>
      </w:r>
    </w:p>
    <w:p w:rsidR="00160DCD" w:rsidRPr="007E408A" w:rsidRDefault="00342263" w:rsidP="0062202F">
      <w:pPr>
        <w:pStyle w:val="EndMatter"/>
      </w:pPr>
      <w:r w:rsidRPr="007E408A">
        <w:rPr>
          <w:noProof/>
        </w:rPr>
        <w:fldChar w:fldCharType="begin"/>
      </w:r>
      <w:r w:rsidRPr="007E408A">
        <w:rPr>
          <w:noProof/>
        </w:rPr>
        <w:instrText xml:space="preserve"> FILENAME  \* Lower \p  \* MERGEFORMAT </w:instrText>
      </w:r>
      <w:r w:rsidRPr="007E408A">
        <w:rPr>
          <w:noProof/>
        </w:rPr>
        <w:fldChar w:fldCharType="separate"/>
      </w:r>
      <w:r w:rsidR="0078531E" w:rsidRPr="007E408A">
        <w:rPr>
          <w:noProof/>
        </w:rPr>
        <w:t>q:\cadm\docket management\water\stm\47xxx\47190 noa(revised).docx</w:t>
      </w:r>
      <w:r w:rsidRPr="007E408A">
        <w:rPr>
          <w:noProof/>
        </w:rPr>
        <w:fldChar w:fldCharType="end"/>
      </w:r>
      <w:bookmarkEnd w:id="0"/>
    </w:p>
    <w:sectPr w:rsidR="00160DCD" w:rsidRPr="007E408A"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6FBE" w:rsidRDefault="00AD6FBE" w:rsidP="00D03394">
      <w:r>
        <w:separator/>
      </w:r>
    </w:p>
  </w:endnote>
  <w:endnote w:type="continuationSeparator" w:id="0">
    <w:p w:rsidR="00AD6FBE" w:rsidRDefault="00AD6FBE"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6FBE" w:rsidRDefault="00AD6FBE" w:rsidP="00D03394">
      <w:r>
        <w:separator/>
      </w:r>
    </w:p>
  </w:footnote>
  <w:footnote w:type="continuationSeparator" w:id="0">
    <w:p w:rsidR="00AD6FBE" w:rsidRDefault="00AD6FBE" w:rsidP="00D03394">
      <w:r>
        <w:continuationSeparator/>
      </w:r>
    </w:p>
  </w:footnote>
  <w:footnote w:id="1">
    <w:p w:rsidR="007E408A" w:rsidRDefault="007E408A">
      <w:pPr>
        <w:pStyle w:val="FootnoteText"/>
      </w:pPr>
      <w:r>
        <w:rPr>
          <w:rStyle w:val="FootnoteReference"/>
        </w:rPr>
        <w:footnoteRef/>
      </w:r>
      <w:r>
        <w:t xml:space="preserve">  Note: Application was actually filed on May 18, 2017; typographical error appeared in Order admitting evidence.</w:t>
      </w:r>
    </w:p>
  </w:footnote>
  <w:footnote w:id="2">
    <w:p w:rsidR="00BA34DA" w:rsidRDefault="00BA34DA" w:rsidP="00BA34DA">
      <w:pPr>
        <w:pStyle w:val="FootnoteText"/>
      </w:pPr>
      <w:r>
        <w:rPr>
          <w:rStyle w:val="FootnoteReference"/>
        </w:rPr>
        <w:footnoteRef/>
      </w:r>
      <w:r>
        <w:t xml:space="preserve"> Administrative Procedure Act, Tex. Gov’t Code </w:t>
      </w:r>
      <w:proofErr w:type="spellStart"/>
      <w:r w:rsidR="007E408A">
        <w:t>ch.</w:t>
      </w:r>
      <w:proofErr w:type="spellEnd"/>
      <w:r w:rsidR="007E408A">
        <w:t xml:space="preserve"> 2001</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78531E">
    <w:pPr>
      <w:pStyle w:val="Header"/>
    </w:pPr>
    <w:r>
      <w:t>Docket No. 47190</w:t>
    </w:r>
    <w:r w:rsidR="00AD6FBE">
      <w:tab/>
      <w:t>Notice of App</w:t>
    </w:r>
    <w:r w:rsidR="005A6C7E">
      <w:t>r</w:t>
    </w:r>
    <w:r w:rsidR="00AD6FBE">
      <w:t>oval</w:t>
    </w:r>
    <w:r w:rsidR="00ED04FC">
      <w:tab/>
      <w:t xml:space="preserve">Page </w:t>
    </w:r>
    <w:r w:rsidR="00ED04FC">
      <w:fldChar w:fldCharType="begin"/>
    </w:r>
    <w:r w:rsidR="00ED04FC">
      <w:instrText xml:space="preserve"> PAGE   \* MERGEFORMAT </w:instrText>
    </w:r>
    <w:r w:rsidR="00ED04FC">
      <w:fldChar w:fldCharType="separate"/>
    </w:r>
    <w:r w:rsidR="007E408A">
      <w:rPr>
        <w:noProof/>
      </w:rPr>
      <w:t>11</w:t>
    </w:r>
    <w:r w:rsidR="00ED04FC">
      <w:fldChar w:fldCharType="end"/>
    </w:r>
    <w:r w:rsidR="00ED04FC">
      <w:t xml:space="preserve"> of </w:t>
    </w:r>
    <w:r w:rsidR="00342263">
      <w:rPr>
        <w:noProof/>
      </w:rPr>
      <w:fldChar w:fldCharType="begin"/>
    </w:r>
    <w:r w:rsidR="00342263">
      <w:rPr>
        <w:noProof/>
      </w:rPr>
      <w:instrText xml:space="preserve"> NUMPAGES   \* MERGEFORMAT </w:instrText>
    </w:r>
    <w:r w:rsidR="00342263">
      <w:rPr>
        <w:noProof/>
      </w:rPr>
      <w:fldChar w:fldCharType="separate"/>
    </w:r>
    <w:r w:rsidR="007E408A">
      <w:rPr>
        <w:noProof/>
      </w:rPr>
      <w:t>11</w:t>
    </w:r>
    <w:r w:rsidR="00342263">
      <w:rPr>
        <w:noProof/>
      </w:rPr>
      <w:fldChar w:fldCharType="end"/>
    </w:r>
  </w:p>
  <w:p w:rsidR="00ED04FC" w:rsidRDefault="00ED04FC">
    <w:pPr>
      <w:pStyle w:val="Header"/>
    </w:pP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87CB6"/>
    <w:multiLevelType w:val="hybridMultilevel"/>
    <w:tmpl w:val="A33CCFE0"/>
    <w:lvl w:ilvl="0" w:tplc="B09CDCEA">
      <w:start w:val="1"/>
      <w:numFmt w:val="decimal"/>
      <w:lvlText w:val="%1."/>
      <w:lvlJc w:val="left"/>
      <w:pPr>
        <w:ind w:left="900" w:hanging="360"/>
      </w:pPr>
      <w:rPr>
        <w:b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 w15:restartNumberingAfterBreak="0">
    <w:nsid w:val="0A8F3D5E"/>
    <w:multiLevelType w:val="singleLevel"/>
    <w:tmpl w:val="33163F72"/>
    <w:lvl w:ilvl="0">
      <w:start w:val="1"/>
      <w:numFmt w:val="decimal"/>
      <w:pStyle w:val="FOFNumbered"/>
      <w:lvlText w:val="%1."/>
      <w:lvlJc w:val="left"/>
      <w:pPr>
        <w:tabs>
          <w:tab w:val="num" w:pos="720"/>
        </w:tabs>
        <w:ind w:left="720" w:hanging="720"/>
      </w:pPr>
      <w:rPr>
        <w:strike w:val="0"/>
      </w:r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B026B99"/>
    <w:multiLevelType w:val="hybridMultilevel"/>
    <w:tmpl w:val="ABE4E0F6"/>
    <w:lvl w:ilvl="0" w:tplc="CBEA8AD2">
      <w:start w:val="1"/>
      <w:numFmt w:val="decimal"/>
      <w:lvlText w:val="%1."/>
      <w:lvlJc w:val="left"/>
      <w:pPr>
        <w:ind w:left="720" w:hanging="648"/>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36CC2"/>
    <w:multiLevelType w:val="multilevel"/>
    <w:tmpl w:val="2CBC844E"/>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52401DA8"/>
    <w:multiLevelType w:val="hybridMultilevel"/>
    <w:tmpl w:val="95E01B56"/>
    <w:lvl w:ilvl="0" w:tplc="2BC489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3B36CE"/>
    <w:multiLevelType w:val="hybridMultilevel"/>
    <w:tmpl w:val="7594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6FB70DAA"/>
    <w:multiLevelType w:val="hybridMultilevel"/>
    <w:tmpl w:val="ABE4E0F6"/>
    <w:lvl w:ilvl="0" w:tplc="CBEA8AD2">
      <w:start w:val="1"/>
      <w:numFmt w:val="decimal"/>
      <w:lvlText w:val="%1."/>
      <w:lvlJc w:val="left"/>
      <w:pPr>
        <w:ind w:left="720" w:hanging="648"/>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10"/>
  </w:num>
  <w:num w:numId="5">
    <w:abstractNumId w:val="3"/>
  </w:num>
  <w:num w:numId="6">
    <w:abstractNumId w:val="8"/>
  </w:num>
  <w:num w:numId="7">
    <w:abstractNumId w:val="9"/>
  </w:num>
  <w:num w:numId="8">
    <w:abstractNumId w:val="4"/>
  </w:num>
  <w:num w:numId="9">
    <w:abstractNumId w:val="6"/>
  </w:num>
  <w:num w:numId="10">
    <w:abstractNumId w:val="7"/>
  </w:num>
  <w:num w:numId="11">
    <w:abstractNumId w:val="5"/>
  </w:num>
  <w:num w:numId="12">
    <w:abstractNumId w:val="11"/>
  </w:num>
  <w:num w:numId="13">
    <w:abstractNumId w:val="1"/>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FBE"/>
    <w:rsid w:val="00015221"/>
    <w:rsid w:val="00025836"/>
    <w:rsid w:val="00027695"/>
    <w:rsid w:val="00030110"/>
    <w:rsid w:val="00051A6A"/>
    <w:rsid w:val="0006505C"/>
    <w:rsid w:val="00065750"/>
    <w:rsid w:val="000736C1"/>
    <w:rsid w:val="00085FE8"/>
    <w:rsid w:val="000A2CB7"/>
    <w:rsid w:val="000A549F"/>
    <w:rsid w:val="000B59F2"/>
    <w:rsid w:val="000E5DBE"/>
    <w:rsid w:val="000F401D"/>
    <w:rsid w:val="000F7337"/>
    <w:rsid w:val="00106DCB"/>
    <w:rsid w:val="001169CA"/>
    <w:rsid w:val="00126C01"/>
    <w:rsid w:val="00160DCD"/>
    <w:rsid w:val="001724BB"/>
    <w:rsid w:val="00186659"/>
    <w:rsid w:val="00191EE4"/>
    <w:rsid w:val="0019366E"/>
    <w:rsid w:val="001D3B44"/>
    <w:rsid w:val="001D4F4B"/>
    <w:rsid w:val="001E07F5"/>
    <w:rsid w:val="001E360C"/>
    <w:rsid w:val="002003F5"/>
    <w:rsid w:val="00205B82"/>
    <w:rsid w:val="002124EA"/>
    <w:rsid w:val="00212A84"/>
    <w:rsid w:val="00225EFE"/>
    <w:rsid w:val="002301A5"/>
    <w:rsid w:val="00250801"/>
    <w:rsid w:val="00266F9F"/>
    <w:rsid w:val="00271781"/>
    <w:rsid w:val="00272485"/>
    <w:rsid w:val="00274E7F"/>
    <w:rsid w:val="00281669"/>
    <w:rsid w:val="00285187"/>
    <w:rsid w:val="00290F2A"/>
    <w:rsid w:val="002A7A40"/>
    <w:rsid w:val="002B5EAB"/>
    <w:rsid w:val="002C1D4E"/>
    <w:rsid w:val="002D59C0"/>
    <w:rsid w:val="002D7E91"/>
    <w:rsid w:val="00306E34"/>
    <w:rsid w:val="00310E5C"/>
    <w:rsid w:val="00312838"/>
    <w:rsid w:val="0031404F"/>
    <w:rsid w:val="003178E2"/>
    <w:rsid w:val="00327EFA"/>
    <w:rsid w:val="00331FD8"/>
    <w:rsid w:val="00332562"/>
    <w:rsid w:val="0033393B"/>
    <w:rsid w:val="003367D7"/>
    <w:rsid w:val="00340D61"/>
    <w:rsid w:val="00342263"/>
    <w:rsid w:val="003470E6"/>
    <w:rsid w:val="00371F99"/>
    <w:rsid w:val="003729E5"/>
    <w:rsid w:val="0038531C"/>
    <w:rsid w:val="0038692D"/>
    <w:rsid w:val="00393CDA"/>
    <w:rsid w:val="003A2FE2"/>
    <w:rsid w:val="003A6C09"/>
    <w:rsid w:val="003B1708"/>
    <w:rsid w:val="003C6EAB"/>
    <w:rsid w:val="003D3FDB"/>
    <w:rsid w:val="003D623E"/>
    <w:rsid w:val="003E04F9"/>
    <w:rsid w:val="00403E0E"/>
    <w:rsid w:val="0041769D"/>
    <w:rsid w:val="00426C57"/>
    <w:rsid w:val="00433B5E"/>
    <w:rsid w:val="004402C0"/>
    <w:rsid w:val="00472EE7"/>
    <w:rsid w:val="00495C8F"/>
    <w:rsid w:val="004A07A0"/>
    <w:rsid w:val="004B6BEA"/>
    <w:rsid w:val="004E0512"/>
    <w:rsid w:val="004E082A"/>
    <w:rsid w:val="004F21E1"/>
    <w:rsid w:val="00521DD0"/>
    <w:rsid w:val="0052467B"/>
    <w:rsid w:val="00545690"/>
    <w:rsid w:val="00552030"/>
    <w:rsid w:val="00571FA4"/>
    <w:rsid w:val="00577F13"/>
    <w:rsid w:val="005A273E"/>
    <w:rsid w:val="005A6C7E"/>
    <w:rsid w:val="005B42F1"/>
    <w:rsid w:val="005C0FF4"/>
    <w:rsid w:val="005C3512"/>
    <w:rsid w:val="005C7A86"/>
    <w:rsid w:val="005E3281"/>
    <w:rsid w:val="005F384F"/>
    <w:rsid w:val="0061404E"/>
    <w:rsid w:val="00615E00"/>
    <w:rsid w:val="0062202F"/>
    <w:rsid w:val="00630955"/>
    <w:rsid w:val="0065061E"/>
    <w:rsid w:val="00672338"/>
    <w:rsid w:val="00677B5E"/>
    <w:rsid w:val="00691668"/>
    <w:rsid w:val="006B08D9"/>
    <w:rsid w:val="006C59D1"/>
    <w:rsid w:val="006C6736"/>
    <w:rsid w:val="006E34E1"/>
    <w:rsid w:val="00700EAE"/>
    <w:rsid w:val="00701284"/>
    <w:rsid w:val="00717807"/>
    <w:rsid w:val="007352D4"/>
    <w:rsid w:val="007572FC"/>
    <w:rsid w:val="007577F5"/>
    <w:rsid w:val="007629A0"/>
    <w:rsid w:val="00777431"/>
    <w:rsid w:val="0078531E"/>
    <w:rsid w:val="0079354B"/>
    <w:rsid w:val="007974F1"/>
    <w:rsid w:val="007A14A2"/>
    <w:rsid w:val="007E408A"/>
    <w:rsid w:val="007E443B"/>
    <w:rsid w:val="007F5410"/>
    <w:rsid w:val="0080046C"/>
    <w:rsid w:val="00802204"/>
    <w:rsid w:val="00805206"/>
    <w:rsid w:val="00854D45"/>
    <w:rsid w:val="008579FD"/>
    <w:rsid w:val="0086289C"/>
    <w:rsid w:val="008738BF"/>
    <w:rsid w:val="00875E8A"/>
    <w:rsid w:val="008B065E"/>
    <w:rsid w:val="008D1724"/>
    <w:rsid w:val="008D30F7"/>
    <w:rsid w:val="008E5B7F"/>
    <w:rsid w:val="008F15CC"/>
    <w:rsid w:val="008F7C5E"/>
    <w:rsid w:val="00903A05"/>
    <w:rsid w:val="00921B37"/>
    <w:rsid w:val="00930F3E"/>
    <w:rsid w:val="00941D60"/>
    <w:rsid w:val="009727E0"/>
    <w:rsid w:val="00977F7C"/>
    <w:rsid w:val="0098443D"/>
    <w:rsid w:val="00997E22"/>
    <w:rsid w:val="009A229D"/>
    <w:rsid w:val="009B130E"/>
    <w:rsid w:val="009B18C0"/>
    <w:rsid w:val="009B293E"/>
    <w:rsid w:val="009B77F1"/>
    <w:rsid w:val="009C1919"/>
    <w:rsid w:val="009E1FA3"/>
    <w:rsid w:val="009E63F3"/>
    <w:rsid w:val="00A035EA"/>
    <w:rsid w:val="00A113F4"/>
    <w:rsid w:val="00A2575A"/>
    <w:rsid w:val="00A27B4D"/>
    <w:rsid w:val="00A40798"/>
    <w:rsid w:val="00A50A54"/>
    <w:rsid w:val="00A62C57"/>
    <w:rsid w:val="00A73652"/>
    <w:rsid w:val="00A75D01"/>
    <w:rsid w:val="00AB3020"/>
    <w:rsid w:val="00AD0A35"/>
    <w:rsid w:val="00AD6FBE"/>
    <w:rsid w:val="00AE27B7"/>
    <w:rsid w:val="00AE2C76"/>
    <w:rsid w:val="00AE497E"/>
    <w:rsid w:val="00B017B2"/>
    <w:rsid w:val="00B02ACE"/>
    <w:rsid w:val="00B167EF"/>
    <w:rsid w:val="00B2183B"/>
    <w:rsid w:val="00B22348"/>
    <w:rsid w:val="00B26FA8"/>
    <w:rsid w:val="00B427E4"/>
    <w:rsid w:val="00B66AED"/>
    <w:rsid w:val="00B71CA8"/>
    <w:rsid w:val="00B84DC8"/>
    <w:rsid w:val="00BA34DA"/>
    <w:rsid w:val="00BB3E3B"/>
    <w:rsid w:val="00BE7F14"/>
    <w:rsid w:val="00BF1D61"/>
    <w:rsid w:val="00C0630F"/>
    <w:rsid w:val="00C54659"/>
    <w:rsid w:val="00C60517"/>
    <w:rsid w:val="00C73ADF"/>
    <w:rsid w:val="00CA3701"/>
    <w:rsid w:val="00CB3614"/>
    <w:rsid w:val="00CC2DA2"/>
    <w:rsid w:val="00CD0072"/>
    <w:rsid w:val="00CE3219"/>
    <w:rsid w:val="00CE473E"/>
    <w:rsid w:val="00CF4943"/>
    <w:rsid w:val="00CF55DF"/>
    <w:rsid w:val="00D00F4C"/>
    <w:rsid w:val="00D03394"/>
    <w:rsid w:val="00D1503F"/>
    <w:rsid w:val="00D17967"/>
    <w:rsid w:val="00D30B98"/>
    <w:rsid w:val="00D33B49"/>
    <w:rsid w:val="00D451DC"/>
    <w:rsid w:val="00D45C62"/>
    <w:rsid w:val="00D5239C"/>
    <w:rsid w:val="00D706B4"/>
    <w:rsid w:val="00D750F9"/>
    <w:rsid w:val="00D80038"/>
    <w:rsid w:val="00DA1D94"/>
    <w:rsid w:val="00DA20CB"/>
    <w:rsid w:val="00DA33DE"/>
    <w:rsid w:val="00DC3E65"/>
    <w:rsid w:val="00DC4771"/>
    <w:rsid w:val="00DD015E"/>
    <w:rsid w:val="00DD51D2"/>
    <w:rsid w:val="00DF250C"/>
    <w:rsid w:val="00DF492C"/>
    <w:rsid w:val="00E30304"/>
    <w:rsid w:val="00E40311"/>
    <w:rsid w:val="00E53AFB"/>
    <w:rsid w:val="00E641D2"/>
    <w:rsid w:val="00E83DFD"/>
    <w:rsid w:val="00EB3FB6"/>
    <w:rsid w:val="00EC1613"/>
    <w:rsid w:val="00ED04FC"/>
    <w:rsid w:val="00ED1943"/>
    <w:rsid w:val="00ED5C5C"/>
    <w:rsid w:val="00EE402E"/>
    <w:rsid w:val="00EE5DDA"/>
    <w:rsid w:val="00F0285F"/>
    <w:rsid w:val="00F02CF2"/>
    <w:rsid w:val="00F11A11"/>
    <w:rsid w:val="00F2059C"/>
    <w:rsid w:val="00F36B57"/>
    <w:rsid w:val="00F44D97"/>
    <w:rsid w:val="00F50497"/>
    <w:rsid w:val="00F60AD0"/>
    <w:rsid w:val="00FA1E83"/>
    <w:rsid w:val="00FA5637"/>
    <w:rsid w:val="00FB3778"/>
    <w:rsid w:val="00FD4F88"/>
    <w:rsid w:val="00FD6465"/>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C5E59312-6029-4CD1-AD35-59EB55875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B02ACE"/>
    <w:pPr>
      <w:spacing w:after="120"/>
      <w:ind w:firstLine="720"/>
    </w:pPr>
    <w:rPr>
      <w:sz w:val="20"/>
      <w:szCs w:val="20"/>
    </w:rPr>
  </w:style>
  <w:style w:type="character" w:customStyle="1" w:styleId="FootnoteTextChar">
    <w:name w:val="Footnote Text Char"/>
    <w:basedOn w:val="DefaultParagraphFont"/>
    <w:link w:val="FootnoteText"/>
    <w:uiPriority w:val="99"/>
    <w:rsid w:val="00B02ACE"/>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Paragraph">
    <w:name w:val="List Paragraph"/>
    <w:basedOn w:val="Normal"/>
    <w:uiPriority w:val="34"/>
    <w:qFormat/>
    <w:rsid w:val="00AD6FBE"/>
    <w:pPr>
      <w:ind w:left="720"/>
      <w:contextualSpacing/>
      <w:jc w:val="both"/>
    </w:pPr>
    <w:rPr>
      <w:rFonts w:eastAsia="Times New Roman"/>
      <w:szCs w:val="20"/>
    </w:rPr>
  </w:style>
  <w:style w:type="character" w:customStyle="1" w:styleId="normaltextrun">
    <w:name w:val="normaltextrun"/>
    <w:basedOn w:val="DefaultParagraphFont"/>
    <w:rsid w:val="00AD6FBE"/>
  </w:style>
  <w:style w:type="paragraph" w:customStyle="1" w:styleId="Docketstyle0">
    <w:name w:val="Docket style"/>
    <w:basedOn w:val="Normal"/>
    <w:rsid w:val="00903A05"/>
    <w:pPr>
      <w:keepNext/>
      <w:tabs>
        <w:tab w:val="center" w:pos="4770"/>
        <w:tab w:val="left" w:pos="5400"/>
      </w:tabs>
      <w:spacing w:line="288" w:lineRule="auto"/>
      <w:jc w:val="both"/>
    </w:pPr>
    <w:rPr>
      <w:rFonts w:eastAsia="Times New Roman"/>
      <w:b/>
      <w:cap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83823">
      <w:bodyDiv w:val="1"/>
      <w:marLeft w:val="0"/>
      <w:marRight w:val="0"/>
      <w:marTop w:val="0"/>
      <w:marBottom w:val="0"/>
      <w:divBdr>
        <w:top w:val="none" w:sz="0" w:space="0" w:color="auto"/>
        <w:left w:val="none" w:sz="0" w:space="0" w:color="auto"/>
        <w:bottom w:val="none" w:sz="0" w:space="0" w:color="auto"/>
        <w:right w:val="none" w:sz="0" w:space="0" w:color="auto"/>
      </w:divBdr>
    </w:div>
    <w:div w:id="554438504">
      <w:bodyDiv w:val="1"/>
      <w:marLeft w:val="0"/>
      <w:marRight w:val="0"/>
      <w:marTop w:val="0"/>
      <w:marBottom w:val="0"/>
      <w:divBdr>
        <w:top w:val="none" w:sz="0" w:space="0" w:color="auto"/>
        <w:left w:val="none" w:sz="0" w:space="0" w:color="auto"/>
        <w:bottom w:val="none" w:sz="0" w:space="0" w:color="auto"/>
        <w:right w:val="none" w:sz="0" w:space="0" w:color="auto"/>
      </w:divBdr>
    </w:div>
    <w:div w:id="727728191">
      <w:bodyDiv w:val="1"/>
      <w:marLeft w:val="0"/>
      <w:marRight w:val="0"/>
      <w:marTop w:val="0"/>
      <w:marBottom w:val="0"/>
      <w:divBdr>
        <w:top w:val="none" w:sz="0" w:space="0" w:color="auto"/>
        <w:left w:val="none" w:sz="0" w:space="0" w:color="auto"/>
        <w:bottom w:val="none" w:sz="0" w:space="0" w:color="auto"/>
        <w:right w:val="none" w:sz="0" w:space="0" w:color="auto"/>
      </w:divBdr>
    </w:div>
    <w:div w:id="1098284931">
      <w:bodyDiv w:val="1"/>
      <w:marLeft w:val="0"/>
      <w:marRight w:val="0"/>
      <w:marTop w:val="0"/>
      <w:marBottom w:val="0"/>
      <w:divBdr>
        <w:top w:val="none" w:sz="0" w:space="0" w:color="auto"/>
        <w:left w:val="none" w:sz="0" w:space="0" w:color="auto"/>
        <w:bottom w:val="none" w:sz="0" w:space="0" w:color="auto"/>
        <w:right w:val="none" w:sz="0" w:space="0" w:color="auto"/>
      </w:divBdr>
    </w:div>
    <w:div w:id="1248155954">
      <w:bodyDiv w:val="1"/>
      <w:marLeft w:val="0"/>
      <w:marRight w:val="0"/>
      <w:marTop w:val="0"/>
      <w:marBottom w:val="0"/>
      <w:divBdr>
        <w:top w:val="none" w:sz="0" w:space="0" w:color="auto"/>
        <w:left w:val="none" w:sz="0" w:space="0" w:color="auto"/>
        <w:bottom w:val="none" w:sz="0" w:space="0" w:color="auto"/>
        <w:right w:val="none" w:sz="0" w:space="0" w:color="auto"/>
      </w:divBdr>
    </w:div>
    <w:div w:id="1251159246">
      <w:bodyDiv w:val="1"/>
      <w:marLeft w:val="0"/>
      <w:marRight w:val="0"/>
      <w:marTop w:val="0"/>
      <w:marBottom w:val="0"/>
      <w:divBdr>
        <w:top w:val="none" w:sz="0" w:space="0" w:color="auto"/>
        <w:left w:val="none" w:sz="0" w:space="0" w:color="auto"/>
        <w:bottom w:val="none" w:sz="0" w:space="0" w:color="auto"/>
        <w:right w:val="none" w:sz="0" w:space="0" w:color="auto"/>
      </w:divBdr>
    </w:div>
    <w:div w:id="1453749117">
      <w:bodyDiv w:val="1"/>
      <w:marLeft w:val="0"/>
      <w:marRight w:val="0"/>
      <w:marTop w:val="0"/>
      <w:marBottom w:val="0"/>
      <w:divBdr>
        <w:top w:val="none" w:sz="0" w:space="0" w:color="auto"/>
        <w:left w:val="none" w:sz="0" w:space="0" w:color="auto"/>
        <w:bottom w:val="none" w:sz="0" w:space="0" w:color="auto"/>
        <w:right w:val="none" w:sz="0" w:space="0" w:color="auto"/>
      </w:divBdr>
    </w:div>
    <w:div w:id="1552301520">
      <w:bodyDiv w:val="1"/>
      <w:marLeft w:val="0"/>
      <w:marRight w:val="0"/>
      <w:marTop w:val="0"/>
      <w:marBottom w:val="0"/>
      <w:divBdr>
        <w:top w:val="none" w:sz="0" w:space="0" w:color="auto"/>
        <w:left w:val="none" w:sz="0" w:space="0" w:color="auto"/>
        <w:bottom w:val="none" w:sz="0" w:space="0" w:color="auto"/>
        <w:right w:val="none" w:sz="0" w:space="0" w:color="auto"/>
      </w:divBdr>
    </w:div>
    <w:div w:id="1742368424">
      <w:bodyDiv w:val="1"/>
      <w:marLeft w:val="0"/>
      <w:marRight w:val="0"/>
      <w:marTop w:val="0"/>
      <w:marBottom w:val="0"/>
      <w:divBdr>
        <w:top w:val="none" w:sz="0" w:space="0" w:color="auto"/>
        <w:left w:val="none" w:sz="0" w:space="0" w:color="auto"/>
        <w:bottom w:val="none" w:sz="0" w:space="0" w:color="auto"/>
        <w:right w:val="none" w:sz="0" w:space="0" w:color="auto"/>
      </w:divBdr>
    </w:div>
    <w:div w:id="1880311247">
      <w:bodyDiv w:val="1"/>
      <w:marLeft w:val="0"/>
      <w:marRight w:val="0"/>
      <w:marTop w:val="0"/>
      <w:marBottom w:val="0"/>
      <w:divBdr>
        <w:top w:val="none" w:sz="0" w:space="0" w:color="auto"/>
        <w:left w:val="none" w:sz="0" w:space="0" w:color="auto"/>
        <w:bottom w:val="none" w:sz="0" w:space="0" w:color="auto"/>
        <w:right w:val="none" w:sz="0" w:space="0" w:color="auto"/>
      </w:divBdr>
    </w:div>
    <w:div w:id="2095473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wd'ab).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3DD0D7-8EC8-4F85-808B-01D79C2D8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order2013(wd'ab)</Template>
  <TotalTime>148</TotalTime>
  <Pages>11</Pages>
  <Words>3056</Words>
  <Characters>17424</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20440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Journeay, Stephen</dc:creator>
  <cp:keywords/>
  <dc:description/>
  <cp:lastModifiedBy>Walker, Theresa</cp:lastModifiedBy>
  <cp:revision>9</cp:revision>
  <cp:lastPrinted>2019-04-04T22:33:00Z</cp:lastPrinted>
  <dcterms:created xsi:type="dcterms:W3CDTF">2019-04-04T22:32:00Z</dcterms:created>
  <dcterms:modified xsi:type="dcterms:W3CDTF">2019-07-26T13:26:00Z</dcterms:modified>
</cp:coreProperties>
</file>